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附件1</w:t>
      </w:r>
    </w:p>
    <w:p>
      <w:pPr>
        <w:ind w:firstLine="1320" w:firstLineChars="300"/>
        <w:jc w:val="both"/>
      </w:pPr>
      <w:r>
        <w:rPr>
          <w:rFonts w:hint="eastAsia" w:ascii="方正小标宋简体" w:hAnsi="方正小标宋简体" w:eastAsia="方正小标宋简体" w:cs="方正小标宋简体"/>
          <w:sz w:val="44"/>
          <w:szCs w:val="44"/>
          <w:lang w:val="en-US" w:eastAsia="zh-CN"/>
        </w:rPr>
        <w:t>绍兴市</w:t>
      </w:r>
      <w:r>
        <w:rPr>
          <w:rFonts w:hint="eastAsia" w:ascii="方正小标宋简体" w:hAnsi="方正小标宋简体" w:eastAsia="方正小标宋简体" w:cs="方正小标宋简体"/>
          <w:sz w:val="44"/>
          <w:szCs w:val="44"/>
          <w:lang w:eastAsia="zh-CN"/>
        </w:rPr>
        <w:t>会计人员信用评价指标</w:t>
      </w:r>
    </w:p>
    <w:p>
      <w:pPr>
        <w:spacing w:beforeLines="0" w:afterLines="0" w:line="400" w:lineRule="exact"/>
        <w:jc w:val="both"/>
        <w:rPr>
          <w:rFonts w:hint="eastAsia" w:ascii="黑体" w:hAnsi="黑体" w:eastAsia="黑体" w:cs="黑体"/>
          <w:sz w:val="32"/>
          <w:szCs w:val="32"/>
          <w:lang w:eastAsia="zh-CN"/>
        </w:rPr>
      </w:pPr>
    </w:p>
    <w:tbl>
      <w:tblPr>
        <w:tblStyle w:val="3"/>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8"/>
        <w:gridCol w:w="7"/>
        <w:gridCol w:w="4931"/>
        <w:gridCol w:w="1181"/>
        <w:gridCol w:w="15"/>
        <w:gridCol w:w="63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trPr>
        <w:tc>
          <w:tcPr>
            <w:tcW w:w="625" w:type="dxa"/>
            <w:gridSpan w:val="2"/>
            <w:vAlign w:val="center"/>
          </w:tcPr>
          <w:p>
            <w:pPr>
              <w:keepNext w:val="0"/>
              <w:keepLines w:val="0"/>
              <w:widowControl w:val="0"/>
              <w:suppressLineNumbers w:val="0"/>
              <w:snapToGrid w:val="0"/>
              <w:spacing w:beforeLines="0" w:afterLines="0" w:line="440" w:lineRule="exact"/>
              <w:jc w:val="both"/>
              <w:textAlignment w:val="auto"/>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4931" w:type="dxa"/>
            <w:vAlign w:val="center"/>
          </w:tcPr>
          <w:p>
            <w:pPr>
              <w:keepNext w:val="0"/>
              <w:keepLines w:val="0"/>
              <w:widowControl w:val="0"/>
              <w:suppressLineNumbers w:val="0"/>
              <w:snapToGrid w:val="0"/>
              <w:spacing w:beforeLines="0" w:afterLines="0" w:line="440" w:lineRule="exact"/>
              <w:jc w:val="center"/>
              <w:textAlignment w:val="auto"/>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评价指标</w:t>
            </w:r>
          </w:p>
        </w:tc>
        <w:tc>
          <w:tcPr>
            <w:tcW w:w="1181" w:type="dxa"/>
            <w:vAlign w:val="center"/>
          </w:tcPr>
          <w:p>
            <w:pPr>
              <w:keepNext w:val="0"/>
              <w:keepLines w:val="0"/>
              <w:widowControl w:val="0"/>
              <w:suppressLineNumbers w:val="0"/>
              <w:snapToGrid w:val="0"/>
              <w:spacing w:beforeLines="0" w:afterLines="0" w:line="440" w:lineRule="exact"/>
              <w:jc w:val="center"/>
              <w:textAlignment w:val="auto"/>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依据</w:t>
            </w:r>
          </w:p>
        </w:tc>
        <w:tc>
          <w:tcPr>
            <w:tcW w:w="648" w:type="dxa"/>
            <w:gridSpan w:val="2"/>
            <w:vAlign w:val="center"/>
          </w:tcPr>
          <w:p>
            <w:pPr>
              <w:keepNext w:val="0"/>
              <w:keepLines w:val="0"/>
              <w:widowControl w:val="0"/>
              <w:suppressLineNumbers w:val="0"/>
              <w:snapToGrid w:val="0"/>
              <w:spacing w:beforeLines="0" w:afterLines="0" w:line="440" w:lineRule="exact"/>
              <w:jc w:val="center"/>
              <w:textAlignment w:val="auto"/>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参考分值</w:t>
            </w:r>
          </w:p>
        </w:tc>
        <w:tc>
          <w:tcPr>
            <w:tcW w:w="1026" w:type="dxa"/>
            <w:vAlign w:val="center"/>
          </w:tcPr>
          <w:p>
            <w:pPr>
              <w:keepNext w:val="0"/>
              <w:keepLines w:val="0"/>
              <w:widowControl w:val="0"/>
              <w:suppressLineNumbers w:val="0"/>
              <w:snapToGrid w:val="0"/>
              <w:spacing w:beforeLines="0" w:afterLines="0" w:line="440" w:lineRule="exact"/>
              <w:jc w:val="center"/>
              <w:textAlignment w:val="auto"/>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影响期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8411" w:type="dxa"/>
            <w:gridSpan w:val="7"/>
            <w:vAlign w:val="center"/>
          </w:tcPr>
          <w:p>
            <w:pPr>
              <w:keepNext w:val="0"/>
              <w:keepLines w:val="0"/>
              <w:widowControl/>
              <w:suppressLineNumbers w:val="0"/>
              <w:snapToGrid w:val="0"/>
              <w:spacing w:beforeLines="0" w:afterLines="0" w:line="44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激励性指标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全国先进会计工作者</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省先进会计工作者</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市先进会计工作者</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县（市、区）先进会计工作者</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会计类志愿服务每天1分</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Cs/>
                <w:color w:val="000000"/>
                <w:kern w:val="0"/>
                <w:sz w:val="28"/>
                <w:szCs w:val="28"/>
                <w:highlight w:val="none"/>
                <w:lang w:val="en-US" w:eastAsia="zh-CN" w:bidi="ar"/>
              </w:rPr>
              <w:t>作为财务负责人、会计机构负责人参与IPO、可转债发行</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7</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获奖的全国会计类课题(仅限主持、执笔和第一作者）每篇10分</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8</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获奖的省会计类课题(仅限主持、执笔和第一作者）每篇5分</w:t>
            </w:r>
          </w:p>
        </w:tc>
        <w:tc>
          <w:tcPr>
            <w:tcW w:w="118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9</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获奖的市会计类课题(仅限主持、执笔和第一作者）每篇3分</w:t>
            </w:r>
          </w:p>
        </w:tc>
        <w:tc>
          <w:tcPr>
            <w:tcW w:w="118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bidi="ar"/>
              </w:rPr>
            </w:pPr>
            <w:r>
              <w:rPr>
                <w:rFonts w:hint="eastAsia" w:ascii="仿宋_GB2312" w:hAnsi="宋体" w:eastAsia="仿宋_GB2312" w:cs="仿宋_GB2312"/>
                <w:b w:val="0"/>
                <w:bCs/>
                <w:i w:val="0"/>
                <w:color w:val="000000"/>
                <w:kern w:val="0"/>
                <w:sz w:val="28"/>
                <w:szCs w:val="28"/>
                <w:u w:val="none"/>
                <w:lang w:val="en-US" w:eastAsia="zh-CN" w:bidi="ar"/>
              </w:rPr>
              <w:t>获奖的县（市、区）会计类课题(仅限主持、执笔和第一作者）每篇2分</w:t>
            </w:r>
          </w:p>
        </w:tc>
        <w:tc>
          <w:tcPr>
            <w:tcW w:w="118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11</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Cs/>
                <w:color w:val="000000"/>
                <w:kern w:val="0"/>
                <w:sz w:val="28"/>
                <w:szCs w:val="28"/>
                <w:lang w:bidi="ar"/>
              </w:rPr>
              <w:t>获得省级三等以上奖励的会计论文</w:t>
            </w:r>
            <w:r>
              <w:rPr>
                <w:rFonts w:hint="eastAsia" w:ascii="仿宋_GB2312" w:hAnsi="宋体" w:eastAsia="仿宋_GB2312" w:cs="仿宋_GB2312"/>
                <w:bCs/>
                <w:color w:val="000000"/>
                <w:kern w:val="0"/>
                <w:sz w:val="28"/>
                <w:szCs w:val="28"/>
                <w:lang w:eastAsia="zh-CN" w:bidi="ar"/>
              </w:rPr>
              <w:t>（仅限第一作者或独著）</w:t>
            </w:r>
            <w:r>
              <w:rPr>
                <w:rFonts w:hint="eastAsia" w:ascii="仿宋_GB2312" w:hAnsi="宋体" w:eastAsia="仿宋_GB2312" w:cs="仿宋_GB2312"/>
                <w:bCs/>
                <w:color w:val="000000"/>
                <w:kern w:val="0"/>
                <w:sz w:val="28"/>
                <w:szCs w:val="28"/>
                <w:lang w:bidi="ar"/>
              </w:rPr>
              <w:t>每篇</w:t>
            </w:r>
            <w:r>
              <w:rPr>
                <w:rFonts w:hint="eastAsia" w:ascii="仿宋_GB2312" w:hAnsi="宋体" w:eastAsia="仿宋_GB2312" w:cs="仿宋_GB2312"/>
                <w:bCs/>
                <w:color w:val="000000"/>
                <w:kern w:val="0"/>
                <w:sz w:val="28"/>
                <w:szCs w:val="28"/>
                <w:lang w:val="en-US" w:eastAsia="zh-CN" w:bidi="ar"/>
              </w:rPr>
              <w:t>5分</w:t>
            </w:r>
          </w:p>
        </w:tc>
        <w:tc>
          <w:tcPr>
            <w:tcW w:w="118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6"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u w:val="none"/>
                <w:lang w:val="en-US" w:eastAsia="zh-CN" w:bidi="ar"/>
              </w:rPr>
              <w:t>12</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Cs/>
                <w:color w:val="000000"/>
                <w:kern w:val="0"/>
                <w:sz w:val="28"/>
                <w:szCs w:val="28"/>
                <w:lang w:bidi="ar"/>
              </w:rPr>
              <w:t>获得</w:t>
            </w:r>
            <w:r>
              <w:rPr>
                <w:rFonts w:hint="eastAsia" w:ascii="仿宋_GB2312" w:hAnsi="宋体" w:eastAsia="仿宋_GB2312" w:cs="仿宋_GB2312"/>
                <w:bCs/>
                <w:color w:val="000000"/>
                <w:kern w:val="0"/>
                <w:sz w:val="28"/>
                <w:szCs w:val="28"/>
                <w:lang w:eastAsia="zh-CN" w:bidi="ar"/>
              </w:rPr>
              <w:t>市</w:t>
            </w:r>
            <w:r>
              <w:rPr>
                <w:rFonts w:hint="eastAsia" w:ascii="仿宋_GB2312" w:hAnsi="宋体" w:eastAsia="仿宋_GB2312" w:cs="仿宋_GB2312"/>
                <w:bCs/>
                <w:color w:val="000000"/>
                <w:kern w:val="0"/>
                <w:sz w:val="28"/>
                <w:szCs w:val="28"/>
                <w:lang w:bidi="ar"/>
              </w:rPr>
              <w:t>级三等以上奖励的会计论文</w:t>
            </w:r>
            <w:r>
              <w:rPr>
                <w:rFonts w:hint="eastAsia" w:ascii="仿宋_GB2312" w:hAnsi="宋体" w:eastAsia="仿宋_GB2312" w:cs="仿宋_GB2312"/>
                <w:bCs/>
                <w:color w:val="000000"/>
                <w:kern w:val="0"/>
                <w:sz w:val="28"/>
                <w:szCs w:val="28"/>
                <w:lang w:eastAsia="zh-CN" w:bidi="ar"/>
              </w:rPr>
              <w:t>（仅限第一作者或独著）</w:t>
            </w:r>
            <w:r>
              <w:rPr>
                <w:rFonts w:hint="eastAsia" w:ascii="仿宋_GB2312" w:hAnsi="宋体" w:eastAsia="仿宋_GB2312" w:cs="仿宋_GB2312"/>
                <w:bCs/>
                <w:color w:val="000000"/>
                <w:kern w:val="0"/>
                <w:sz w:val="28"/>
                <w:szCs w:val="28"/>
                <w:lang w:bidi="ar"/>
              </w:rPr>
              <w:t>每篇</w:t>
            </w:r>
            <w:r>
              <w:rPr>
                <w:rFonts w:hint="eastAsia" w:ascii="仿宋_GB2312" w:hAnsi="宋体" w:eastAsia="仿宋_GB2312" w:cs="仿宋_GB2312"/>
                <w:bCs/>
                <w:color w:val="000000"/>
                <w:kern w:val="0"/>
                <w:sz w:val="28"/>
                <w:szCs w:val="28"/>
                <w:lang w:val="en-US" w:eastAsia="zh-CN" w:bidi="ar"/>
              </w:rPr>
              <w:t>3分</w:t>
            </w:r>
          </w:p>
        </w:tc>
        <w:tc>
          <w:tcPr>
            <w:tcW w:w="118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u w:val="none"/>
                <w:lang w:val="en-US" w:eastAsia="zh-CN" w:bidi="ar"/>
              </w:rPr>
              <w:t>13</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Cs/>
                <w:color w:val="000000"/>
                <w:kern w:val="0"/>
                <w:sz w:val="28"/>
                <w:szCs w:val="28"/>
                <w:lang w:bidi="ar"/>
              </w:rPr>
              <w:t>获得县（市、区）三等以上奖励的会计论文</w:t>
            </w:r>
            <w:r>
              <w:rPr>
                <w:rFonts w:hint="eastAsia" w:ascii="仿宋_GB2312" w:hAnsi="宋体" w:eastAsia="仿宋_GB2312" w:cs="仿宋_GB2312"/>
                <w:bCs/>
                <w:color w:val="000000"/>
                <w:kern w:val="0"/>
                <w:sz w:val="28"/>
                <w:szCs w:val="28"/>
                <w:lang w:eastAsia="zh-CN" w:bidi="ar"/>
              </w:rPr>
              <w:t>（仅限第一作者或独著）</w:t>
            </w:r>
            <w:r>
              <w:rPr>
                <w:rFonts w:hint="eastAsia" w:ascii="仿宋_GB2312" w:hAnsi="宋体" w:eastAsia="仿宋_GB2312" w:cs="仿宋_GB2312"/>
                <w:bCs/>
                <w:color w:val="000000"/>
                <w:kern w:val="0"/>
                <w:sz w:val="28"/>
                <w:szCs w:val="28"/>
                <w:lang w:bidi="ar"/>
              </w:rPr>
              <w:t>每篇</w:t>
            </w:r>
            <w:r>
              <w:rPr>
                <w:rFonts w:hint="eastAsia" w:ascii="仿宋_GB2312" w:hAnsi="宋体" w:eastAsia="仿宋_GB2312" w:cs="仿宋_GB2312"/>
                <w:bCs/>
                <w:color w:val="000000"/>
                <w:kern w:val="0"/>
                <w:sz w:val="28"/>
                <w:szCs w:val="28"/>
                <w:lang w:val="en-US" w:eastAsia="zh-CN" w:bidi="ar"/>
              </w:rPr>
              <w:t>2分</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14</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公开发表会计类论文</w:t>
            </w:r>
            <w:r>
              <w:rPr>
                <w:rFonts w:hint="eastAsia" w:ascii="仿宋_GB2312" w:hAnsi="宋体" w:eastAsia="仿宋_GB2312" w:cs="仿宋_GB2312"/>
                <w:bCs/>
                <w:color w:val="000000"/>
                <w:kern w:val="0"/>
                <w:sz w:val="28"/>
                <w:szCs w:val="28"/>
                <w:lang w:eastAsia="zh-CN" w:bidi="ar"/>
              </w:rPr>
              <w:t>（仅限第一作者或独著）</w:t>
            </w:r>
            <w:r>
              <w:rPr>
                <w:rFonts w:hint="eastAsia" w:ascii="仿宋_GB2312" w:hAnsi="宋体" w:eastAsia="仿宋_GB2312" w:cs="仿宋_GB2312"/>
                <w:b w:val="0"/>
                <w:bCs/>
                <w:i w:val="0"/>
                <w:color w:val="000000"/>
                <w:kern w:val="0"/>
                <w:sz w:val="28"/>
                <w:szCs w:val="28"/>
                <w:u w:val="none"/>
                <w:lang w:val="en-US" w:eastAsia="zh-CN" w:bidi="ar"/>
              </w:rPr>
              <w:t>每篇5分</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15</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会计类专家作用发挥每天2分</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16</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在征求意见时，以个人名义提出并被采纳的会计制度、准则修订的意见（根据意见质量情况适当给分）</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ind w:firstLine="280" w:firstLineChars="100"/>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17</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Cs/>
                <w:color w:val="000000"/>
                <w:kern w:val="0"/>
                <w:sz w:val="28"/>
                <w:szCs w:val="28"/>
                <w:lang w:eastAsia="zh-CN" w:bidi="ar"/>
              </w:rPr>
              <w:t>取</w:t>
            </w:r>
            <w:r>
              <w:rPr>
                <w:rFonts w:hint="eastAsia" w:ascii="仿宋_GB2312" w:hAnsi="宋体" w:eastAsia="仿宋_GB2312" w:cs="仿宋_GB2312"/>
                <w:bCs/>
                <w:color w:val="000000"/>
                <w:kern w:val="0"/>
                <w:sz w:val="28"/>
                <w:szCs w:val="28"/>
                <w:lang w:bidi="ar"/>
              </w:rPr>
              <w:t>得</w:t>
            </w:r>
            <w:r>
              <w:rPr>
                <w:rFonts w:hint="eastAsia" w:ascii="仿宋_GB2312" w:hAnsi="宋体" w:eastAsia="仿宋_GB2312" w:cs="仿宋_GB2312"/>
                <w:bCs/>
                <w:color w:val="000000"/>
                <w:kern w:val="0"/>
                <w:sz w:val="28"/>
                <w:szCs w:val="28"/>
                <w:lang w:eastAsia="zh-CN" w:bidi="ar"/>
              </w:rPr>
              <w:t>财政部颁发的</w:t>
            </w:r>
            <w:r>
              <w:rPr>
                <w:rFonts w:hint="eastAsia" w:ascii="仿宋_GB2312" w:hAnsi="宋体" w:eastAsia="仿宋_GB2312" w:cs="仿宋_GB2312"/>
                <w:bCs/>
                <w:color w:val="000000"/>
                <w:kern w:val="0"/>
                <w:sz w:val="28"/>
                <w:szCs w:val="28"/>
                <w:lang w:bidi="ar"/>
              </w:rPr>
              <w:t>会计领军（高端）人才</w:t>
            </w:r>
            <w:r>
              <w:rPr>
                <w:rFonts w:hint="eastAsia" w:ascii="仿宋_GB2312" w:hAnsi="宋体" w:eastAsia="仿宋_GB2312" w:cs="仿宋_GB2312"/>
                <w:bCs/>
                <w:color w:val="000000"/>
                <w:kern w:val="0"/>
                <w:sz w:val="28"/>
                <w:szCs w:val="28"/>
                <w:lang w:eastAsia="zh-CN" w:bidi="ar"/>
              </w:rPr>
              <w:t>证书</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18</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bidi="ar"/>
              </w:rPr>
              <w:t>获得省</w:t>
            </w:r>
            <w:r>
              <w:rPr>
                <w:rFonts w:hint="eastAsia" w:ascii="仿宋_GB2312" w:hAnsi="宋体" w:eastAsia="仿宋_GB2312" w:cs="仿宋_GB2312"/>
                <w:bCs/>
                <w:color w:val="000000"/>
                <w:kern w:val="0"/>
                <w:sz w:val="28"/>
                <w:szCs w:val="28"/>
                <w:lang w:eastAsia="zh-CN" w:bidi="ar"/>
              </w:rPr>
              <w:t>财政部门或全国行业主管部门颁发的</w:t>
            </w:r>
            <w:r>
              <w:rPr>
                <w:rFonts w:hint="eastAsia" w:ascii="仿宋_GB2312" w:hAnsi="宋体" w:eastAsia="仿宋_GB2312" w:cs="仿宋_GB2312"/>
                <w:bCs/>
                <w:color w:val="000000"/>
                <w:kern w:val="0"/>
                <w:sz w:val="28"/>
                <w:szCs w:val="28"/>
                <w:lang w:bidi="ar"/>
              </w:rPr>
              <w:t>会计领军（高端）人才</w:t>
            </w:r>
            <w:r>
              <w:rPr>
                <w:rFonts w:hint="eastAsia" w:ascii="仿宋_GB2312" w:hAnsi="宋体" w:eastAsia="仿宋_GB2312" w:cs="仿宋_GB2312"/>
                <w:bCs/>
                <w:color w:val="000000"/>
                <w:kern w:val="0"/>
                <w:sz w:val="28"/>
                <w:szCs w:val="28"/>
                <w:lang w:eastAsia="zh-CN" w:bidi="ar"/>
              </w:rPr>
              <w:t>证书</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15</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19</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bidi="ar"/>
              </w:rPr>
              <w:t>获得</w:t>
            </w:r>
            <w:r>
              <w:rPr>
                <w:rFonts w:hint="eastAsia" w:ascii="仿宋_GB2312" w:hAnsi="宋体" w:eastAsia="仿宋_GB2312" w:cs="仿宋_GB2312"/>
                <w:bCs/>
                <w:color w:val="000000"/>
                <w:kern w:val="0"/>
                <w:sz w:val="28"/>
                <w:szCs w:val="28"/>
                <w:lang w:eastAsia="zh-CN" w:bidi="ar"/>
              </w:rPr>
              <w:t>市</w:t>
            </w:r>
            <w:r>
              <w:rPr>
                <w:rFonts w:hint="eastAsia" w:ascii="仿宋_GB2312" w:hAnsi="宋体" w:eastAsia="仿宋_GB2312" w:cs="仿宋_GB2312"/>
                <w:bCs/>
                <w:color w:val="000000"/>
                <w:kern w:val="0"/>
                <w:sz w:val="28"/>
                <w:szCs w:val="28"/>
                <w:lang w:bidi="ar"/>
              </w:rPr>
              <w:t>级</w:t>
            </w:r>
            <w:r>
              <w:rPr>
                <w:rFonts w:hint="eastAsia" w:ascii="仿宋_GB2312" w:hAnsi="宋体" w:eastAsia="仿宋_GB2312" w:cs="仿宋_GB2312"/>
                <w:bCs/>
                <w:color w:val="000000"/>
                <w:kern w:val="0"/>
                <w:sz w:val="28"/>
                <w:szCs w:val="28"/>
                <w:lang w:eastAsia="zh-CN" w:bidi="ar"/>
              </w:rPr>
              <w:t>财政部门颁发的</w:t>
            </w:r>
            <w:r>
              <w:rPr>
                <w:rFonts w:hint="eastAsia" w:ascii="仿宋_GB2312" w:hAnsi="宋体" w:eastAsia="仿宋_GB2312" w:cs="仿宋_GB2312"/>
                <w:bCs/>
                <w:color w:val="000000"/>
                <w:kern w:val="0"/>
                <w:sz w:val="28"/>
                <w:szCs w:val="28"/>
                <w:lang w:bidi="ar"/>
              </w:rPr>
              <w:t>会计领军（高端）人才</w:t>
            </w:r>
            <w:r>
              <w:rPr>
                <w:rFonts w:hint="eastAsia" w:ascii="仿宋_GB2312" w:hAnsi="宋体" w:eastAsia="仿宋_GB2312" w:cs="仿宋_GB2312"/>
                <w:bCs/>
                <w:color w:val="000000"/>
                <w:kern w:val="0"/>
                <w:sz w:val="28"/>
                <w:szCs w:val="28"/>
                <w:lang w:eastAsia="zh-CN" w:bidi="ar"/>
              </w:rPr>
              <w:t>证书</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bidi="ar"/>
              </w:rPr>
              <w:t>获得</w:t>
            </w:r>
            <w:r>
              <w:rPr>
                <w:rFonts w:hint="eastAsia" w:ascii="仿宋_GB2312" w:hAnsi="宋体" w:eastAsia="仿宋_GB2312" w:cs="仿宋_GB2312"/>
                <w:bCs/>
                <w:color w:val="000000"/>
                <w:kern w:val="0"/>
                <w:sz w:val="28"/>
                <w:szCs w:val="28"/>
                <w:lang w:eastAsia="zh-CN" w:bidi="ar"/>
              </w:rPr>
              <w:t>县</w:t>
            </w:r>
            <w:r>
              <w:rPr>
                <w:rFonts w:hint="eastAsia" w:ascii="仿宋_GB2312" w:hAnsi="宋体" w:eastAsia="仿宋_GB2312" w:cs="仿宋_GB2312"/>
                <w:bCs/>
                <w:color w:val="000000"/>
                <w:kern w:val="0"/>
                <w:sz w:val="28"/>
                <w:szCs w:val="28"/>
                <w:lang w:bidi="ar"/>
              </w:rPr>
              <w:t>级</w:t>
            </w:r>
            <w:r>
              <w:rPr>
                <w:rFonts w:hint="eastAsia" w:ascii="仿宋_GB2312" w:hAnsi="宋体" w:eastAsia="仿宋_GB2312" w:cs="仿宋_GB2312"/>
                <w:bCs/>
                <w:color w:val="000000"/>
                <w:kern w:val="0"/>
                <w:sz w:val="28"/>
                <w:szCs w:val="28"/>
                <w:lang w:eastAsia="zh-CN" w:bidi="ar"/>
              </w:rPr>
              <w:t>财政部门颁发的</w:t>
            </w:r>
            <w:r>
              <w:rPr>
                <w:rFonts w:hint="eastAsia" w:ascii="仿宋_GB2312" w:hAnsi="宋体" w:eastAsia="仿宋_GB2312" w:cs="仿宋_GB2312"/>
                <w:bCs/>
                <w:color w:val="000000"/>
                <w:kern w:val="0"/>
                <w:sz w:val="28"/>
                <w:szCs w:val="28"/>
                <w:lang w:bidi="ar"/>
              </w:rPr>
              <w:t>会计领军（高端）人才</w:t>
            </w:r>
            <w:r>
              <w:rPr>
                <w:rFonts w:hint="eastAsia" w:ascii="仿宋_GB2312" w:hAnsi="宋体" w:eastAsia="仿宋_GB2312" w:cs="仿宋_GB2312"/>
                <w:bCs/>
                <w:color w:val="000000"/>
                <w:kern w:val="0"/>
                <w:sz w:val="28"/>
                <w:szCs w:val="28"/>
                <w:lang w:eastAsia="zh-CN" w:bidi="ar"/>
              </w:rPr>
              <w:t>证书</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21</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eastAsia="zh-CN" w:bidi="ar"/>
              </w:rPr>
              <w:t>取</w:t>
            </w:r>
            <w:r>
              <w:rPr>
                <w:rFonts w:hint="eastAsia" w:ascii="仿宋_GB2312" w:hAnsi="宋体" w:eastAsia="仿宋_GB2312" w:cs="仿宋_GB2312"/>
                <w:bCs/>
                <w:color w:val="000000"/>
                <w:kern w:val="0"/>
                <w:sz w:val="28"/>
                <w:szCs w:val="28"/>
                <w:lang w:bidi="ar"/>
              </w:rPr>
              <w:t>得高级</w:t>
            </w:r>
            <w:r>
              <w:rPr>
                <w:rFonts w:hint="eastAsia" w:ascii="仿宋_GB2312" w:hAnsi="宋体" w:eastAsia="仿宋_GB2312" w:cs="仿宋_GB2312"/>
                <w:bCs/>
                <w:color w:val="000000"/>
                <w:kern w:val="0"/>
                <w:sz w:val="28"/>
                <w:szCs w:val="28"/>
                <w:lang w:eastAsia="zh-CN" w:bidi="ar"/>
              </w:rPr>
              <w:t>专业技术职务任职</w:t>
            </w:r>
            <w:r>
              <w:rPr>
                <w:rFonts w:hint="eastAsia" w:ascii="仿宋_GB2312" w:hAnsi="宋体" w:eastAsia="仿宋_GB2312" w:cs="仿宋_GB2312"/>
                <w:bCs/>
                <w:color w:val="000000"/>
                <w:kern w:val="0"/>
                <w:sz w:val="28"/>
                <w:szCs w:val="28"/>
                <w:lang w:bidi="ar"/>
              </w:rPr>
              <w:t>资格</w:t>
            </w:r>
            <w:r>
              <w:rPr>
                <w:rFonts w:hint="eastAsia" w:ascii="仿宋_GB2312" w:hAnsi="宋体" w:eastAsia="仿宋_GB2312" w:cs="仿宋_GB2312"/>
                <w:bCs/>
                <w:color w:val="000000"/>
                <w:kern w:val="0"/>
                <w:sz w:val="28"/>
                <w:szCs w:val="28"/>
                <w:lang w:eastAsia="zh-CN" w:bidi="ar"/>
              </w:rPr>
              <w:t>、</w:t>
            </w:r>
            <w:r>
              <w:rPr>
                <w:rFonts w:hint="eastAsia" w:ascii="仿宋_GB2312" w:hAnsi="宋体" w:eastAsia="仿宋_GB2312" w:cs="仿宋_GB2312"/>
                <w:bCs/>
                <w:color w:val="000000"/>
                <w:kern w:val="0"/>
                <w:sz w:val="28"/>
                <w:szCs w:val="28"/>
                <w:lang w:val="en-US" w:eastAsia="zh-CN" w:bidi="ar"/>
              </w:rPr>
              <w:t>注册会计师资格</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22</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eastAsia="zh-CN" w:bidi="ar"/>
              </w:rPr>
              <w:t>取</w:t>
            </w:r>
            <w:r>
              <w:rPr>
                <w:rFonts w:hint="eastAsia" w:ascii="仿宋_GB2312" w:hAnsi="宋体" w:eastAsia="仿宋_GB2312" w:cs="仿宋_GB2312"/>
                <w:bCs/>
                <w:color w:val="000000"/>
                <w:kern w:val="0"/>
                <w:sz w:val="28"/>
                <w:szCs w:val="28"/>
                <w:lang w:bidi="ar"/>
              </w:rPr>
              <w:t>得</w:t>
            </w:r>
            <w:r>
              <w:rPr>
                <w:rFonts w:hint="eastAsia" w:ascii="仿宋_GB2312" w:hAnsi="宋体" w:eastAsia="仿宋_GB2312" w:cs="仿宋_GB2312"/>
                <w:bCs/>
                <w:color w:val="000000"/>
                <w:kern w:val="0"/>
                <w:sz w:val="28"/>
                <w:szCs w:val="28"/>
                <w:lang w:eastAsia="zh-CN" w:bidi="ar"/>
              </w:rPr>
              <w:t>中</w:t>
            </w:r>
            <w:r>
              <w:rPr>
                <w:rFonts w:hint="eastAsia" w:ascii="仿宋_GB2312" w:hAnsi="宋体" w:eastAsia="仿宋_GB2312" w:cs="仿宋_GB2312"/>
                <w:bCs/>
                <w:color w:val="000000"/>
                <w:kern w:val="0"/>
                <w:sz w:val="28"/>
                <w:szCs w:val="28"/>
                <w:lang w:bidi="ar"/>
              </w:rPr>
              <w:t>级</w:t>
            </w:r>
            <w:r>
              <w:rPr>
                <w:rFonts w:hint="eastAsia" w:ascii="仿宋_GB2312" w:hAnsi="宋体" w:eastAsia="仿宋_GB2312" w:cs="仿宋_GB2312"/>
                <w:bCs/>
                <w:color w:val="000000"/>
                <w:kern w:val="0"/>
                <w:sz w:val="28"/>
                <w:szCs w:val="28"/>
                <w:lang w:eastAsia="zh-CN" w:bidi="ar"/>
              </w:rPr>
              <w:t>专业技术职务任职</w:t>
            </w:r>
            <w:r>
              <w:rPr>
                <w:rFonts w:hint="eastAsia" w:ascii="仿宋_GB2312" w:hAnsi="宋体" w:eastAsia="仿宋_GB2312" w:cs="仿宋_GB2312"/>
                <w:bCs/>
                <w:color w:val="000000"/>
                <w:kern w:val="0"/>
                <w:sz w:val="28"/>
                <w:szCs w:val="28"/>
                <w:lang w:bidi="ar"/>
              </w:rPr>
              <w:t>资格</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23</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auto"/>
                <w:kern w:val="0"/>
                <w:sz w:val="28"/>
                <w:szCs w:val="28"/>
                <w:lang w:val="en-US" w:eastAsia="zh-CN" w:bidi="ar"/>
              </w:rPr>
              <w:t>取得国家教育部门认可的学历提升</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24</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val="en-US" w:eastAsia="zh-CN" w:bidi="ar"/>
              </w:rPr>
            </w:pPr>
            <w:r>
              <w:rPr>
                <w:rFonts w:hint="eastAsia" w:ascii="仿宋_GB2312" w:hAnsi="宋体" w:eastAsia="仿宋_GB2312" w:cs="仿宋_GB2312"/>
                <w:bCs/>
                <w:color w:val="000000"/>
                <w:kern w:val="0"/>
                <w:sz w:val="28"/>
                <w:szCs w:val="28"/>
                <w:lang w:bidi="ar"/>
              </w:rPr>
              <w:t>按</w:t>
            </w:r>
            <w:r>
              <w:rPr>
                <w:rFonts w:hint="eastAsia" w:ascii="仿宋_GB2312" w:hAnsi="宋体" w:eastAsia="仿宋_GB2312" w:cs="仿宋_GB2312"/>
                <w:bCs/>
                <w:color w:val="000000"/>
                <w:kern w:val="0"/>
                <w:sz w:val="28"/>
                <w:szCs w:val="28"/>
                <w:lang w:eastAsia="zh-CN" w:bidi="ar"/>
              </w:rPr>
              <w:t>时</w:t>
            </w:r>
            <w:r>
              <w:rPr>
                <w:rFonts w:hint="eastAsia" w:ascii="仿宋_GB2312" w:hAnsi="宋体" w:eastAsia="仿宋_GB2312" w:cs="仿宋_GB2312"/>
                <w:bCs/>
                <w:color w:val="000000"/>
                <w:kern w:val="0"/>
                <w:sz w:val="28"/>
                <w:szCs w:val="28"/>
                <w:lang w:bidi="ar"/>
              </w:rPr>
              <w:t>完成</w:t>
            </w:r>
            <w:r>
              <w:rPr>
                <w:rFonts w:hint="eastAsia" w:ascii="仿宋_GB2312" w:hAnsi="宋体" w:eastAsia="仿宋_GB2312" w:cs="仿宋_GB2312"/>
                <w:bCs/>
                <w:color w:val="000000"/>
                <w:kern w:val="0"/>
                <w:sz w:val="28"/>
                <w:szCs w:val="28"/>
                <w:lang w:eastAsia="zh-CN" w:bidi="ar"/>
              </w:rPr>
              <w:t>当年度</w:t>
            </w:r>
            <w:r>
              <w:rPr>
                <w:rFonts w:hint="eastAsia" w:ascii="仿宋_GB2312" w:hAnsi="宋体" w:eastAsia="仿宋_GB2312" w:cs="仿宋_GB2312"/>
                <w:bCs/>
                <w:color w:val="000000"/>
                <w:kern w:val="0"/>
                <w:sz w:val="28"/>
                <w:szCs w:val="28"/>
                <w:lang w:bidi="ar"/>
              </w:rPr>
              <w:t>会计人员继续教育</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25</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Cs/>
                <w:color w:val="000000"/>
                <w:kern w:val="0"/>
                <w:sz w:val="28"/>
                <w:szCs w:val="28"/>
                <w:lang w:bidi="ar"/>
              </w:rPr>
            </w:pPr>
            <w:r>
              <w:rPr>
                <w:rFonts w:hint="eastAsia" w:ascii="仿宋_GB2312" w:hAnsi="宋体" w:eastAsia="仿宋_GB2312" w:cs="仿宋_GB2312"/>
                <w:bCs/>
                <w:color w:val="000000"/>
                <w:kern w:val="0"/>
                <w:sz w:val="28"/>
                <w:szCs w:val="28"/>
                <w:lang w:bidi="ar"/>
              </w:rPr>
              <w:t>及时</w:t>
            </w:r>
            <w:r>
              <w:rPr>
                <w:rFonts w:hint="eastAsia" w:ascii="仿宋_GB2312" w:hAnsi="宋体" w:eastAsia="仿宋_GB2312" w:cs="仿宋_GB2312"/>
                <w:bCs/>
                <w:color w:val="000000"/>
                <w:kern w:val="0"/>
                <w:sz w:val="28"/>
                <w:szCs w:val="28"/>
                <w:lang w:eastAsia="zh-CN" w:bidi="ar"/>
              </w:rPr>
              <w:t>准确</w:t>
            </w:r>
            <w:r>
              <w:rPr>
                <w:rFonts w:hint="eastAsia" w:ascii="仿宋_GB2312" w:hAnsi="宋体" w:eastAsia="仿宋_GB2312" w:cs="仿宋_GB2312"/>
                <w:bCs/>
                <w:color w:val="000000"/>
                <w:kern w:val="0"/>
                <w:sz w:val="28"/>
                <w:szCs w:val="28"/>
                <w:lang w:bidi="ar"/>
              </w:rPr>
              <w:t>更新会计人员信息</w:t>
            </w:r>
          </w:p>
        </w:tc>
        <w:tc>
          <w:tcPr>
            <w:tcW w:w="1196"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633"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6752" w:type="dxa"/>
            <w:gridSpan w:val="5"/>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激励性指标总分值</w:t>
            </w:r>
          </w:p>
        </w:tc>
        <w:tc>
          <w:tcPr>
            <w:tcW w:w="1659"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8411" w:type="dxa"/>
            <w:gridSpan w:val="7"/>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bCs/>
                <w:color w:val="000000"/>
                <w:kern w:val="0"/>
                <w:sz w:val="28"/>
                <w:szCs w:val="28"/>
                <w:lang w:val="en-US" w:eastAsia="zh-CN"/>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不依法设置会计账簿的，私设会计账簿的</w:t>
            </w:r>
          </w:p>
        </w:tc>
        <w:tc>
          <w:tcPr>
            <w:tcW w:w="1181" w:type="dxa"/>
            <w:vMerge w:val="restart"/>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《会计法》第四十二条</w:t>
            </w:r>
          </w:p>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80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未按照规定填制、取得原始凭证或者填制、取得的原始凭证不符合规定的，以未经审核的会计凭证为依据登记会计账簿或者登记会计账簿不符合规定的</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60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随意变更会计处理方法的</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30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向不同的会计资料使用者提供的财务会计报告编制依据不一致的</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80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未按照规定使用会计记录文字或者记账本位币的</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未按照规定保管会计资料，致使会计资料毁损、灭失的</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80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未按照规定建立并实施单位内部会计监督制度或者拒绝依法实施的监督或者不如实提供有关会计资料及有关情况</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100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伪造、变造会计凭证、会计账簿，编制虚假财务会计报告</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《会计法》第四十三条</w:t>
            </w: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150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一至五年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隐匿或者故意销毁依法应当保存的会计凭证、会计账簿、财务会计报告</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《会计法》第四十四条</w:t>
            </w: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150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一至五年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0"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授意、指使、强令会计机构、会计人员及其他人员伪造、变造会计凭证、会计账簿，编制虚假财务会计报告或者隐匿、故意销毁依法应当保存的会计凭证、会计账簿、财务会计报告</w:t>
            </w: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《会计法》第四十五条</w:t>
            </w: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auto"/>
                <w:sz w:val="28"/>
                <w:szCs w:val="28"/>
                <w:u w:val="none"/>
                <w:lang w:val="en-US" w:eastAsia="zh-CN"/>
              </w:rPr>
            </w:pPr>
            <w:r>
              <w:rPr>
                <w:rFonts w:hint="eastAsia" w:ascii="仿宋_GB2312" w:hAnsi="宋体" w:eastAsia="仿宋_GB2312" w:cs="仿宋_GB2312"/>
                <w:i w:val="0"/>
                <w:color w:val="auto"/>
                <w:sz w:val="28"/>
                <w:szCs w:val="28"/>
                <w:u w:val="none"/>
                <w:lang w:val="en-US" w:eastAsia="zh-CN"/>
              </w:rPr>
              <w:t>1</w:t>
            </w:r>
            <w:r>
              <w:rPr>
                <w:rFonts w:hint="default" w:ascii="仿宋_GB2312" w:hAnsi="宋体" w:eastAsia="仿宋_GB2312" w:cs="仿宋_GB2312"/>
                <w:i w:val="0"/>
                <w:color w:val="auto"/>
                <w:sz w:val="28"/>
                <w:szCs w:val="28"/>
                <w:u w:val="none"/>
                <w:lang w:val="en" w:eastAsia="zh-CN"/>
              </w:rPr>
              <w:t>2</w:t>
            </w:r>
            <w:r>
              <w:rPr>
                <w:rFonts w:hint="eastAsia" w:ascii="仿宋_GB2312" w:hAnsi="宋体" w:eastAsia="仿宋_GB2312" w:cs="仿宋_GB2312"/>
                <w:i w:val="0"/>
                <w:color w:val="auto"/>
                <w:sz w:val="28"/>
                <w:szCs w:val="28"/>
                <w:u w:val="none"/>
                <w:lang w:val="en-US" w:eastAsia="zh-CN"/>
              </w:rPr>
              <w:t>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Cs/>
                <w:i w:val="0"/>
                <w:color w:val="auto"/>
                <w:kern w:val="0"/>
                <w:sz w:val="28"/>
                <w:szCs w:val="28"/>
                <w:u w:val="none"/>
                <w:lang w:val="en-US" w:eastAsia="zh-CN" w:bidi="ar"/>
              </w:rPr>
            </w:pPr>
            <w:r>
              <w:rPr>
                <w:rFonts w:hint="eastAsia" w:ascii="仿宋_GB2312" w:hAnsi="宋体" w:eastAsia="仿宋_GB2312" w:cs="仿宋_GB2312"/>
                <w:b w:val="0"/>
                <w:bCs/>
                <w:i w:val="0"/>
                <w:color w:val="auto"/>
                <w:kern w:val="0"/>
                <w:sz w:val="28"/>
                <w:szCs w:val="28"/>
                <w:lang w:val="en-US" w:eastAsia="zh-CN" w:bidi="ar"/>
              </w:rPr>
              <w:t>一至五年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11</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携带通讯工具、规定以外的电子用品或者与考试内容相关的资料进入座位，经提醒仍不改正</w:t>
            </w:r>
          </w:p>
        </w:tc>
        <w:tc>
          <w:tcPr>
            <w:tcW w:w="1181" w:type="dxa"/>
            <w:vMerge w:val="restart"/>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《专业技术人员资格考试违纪违规行为处理规定》（人社部令第31号）第六条</w:t>
            </w: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12</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经提醒仍不按规定书写、填涂本人身份和考试信息</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13</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未在规定座位参加考试，或者未经考试工作人员允许擅自离开座位或者考场，经提醒仍不改正</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14</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在考试开始信号发出前答题，或者在考试结束信号发出后继续答题</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15</w:t>
            </w:r>
          </w:p>
        </w:tc>
        <w:tc>
          <w:tcPr>
            <w:tcW w:w="493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将试卷、答题卡、答题纸带出考场</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16</w:t>
            </w: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故意损坏试卷、答题纸、答题卡、电子化系统设施</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25"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17</w:t>
            </w:r>
          </w:p>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4931" w:type="dxa"/>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未按规定使用考试系统，经提醒仍不改正</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10</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737" w:type="dxa"/>
            <w:gridSpan w:val="4"/>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bidi="ar"/>
              </w:rPr>
            </w:pPr>
            <w:r>
              <w:rPr>
                <w:rFonts w:hint="eastAsia" w:ascii="仿宋_GB2312" w:hAnsi="宋体" w:eastAsia="仿宋_GB2312" w:cs="仿宋_GB2312"/>
                <w:b/>
                <w:bCs/>
                <w:color w:val="000000"/>
                <w:kern w:val="0"/>
                <w:sz w:val="28"/>
                <w:szCs w:val="28"/>
                <w:lang w:val="en-US" w:eastAsia="zh-CN" w:bidi="ar"/>
              </w:rPr>
              <w:t>约束性指标总分值</w:t>
            </w:r>
          </w:p>
        </w:tc>
        <w:tc>
          <w:tcPr>
            <w:tcW w:w="1674" w:type="dxa"/>
            <w:gridSpan w:val="3"/>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8411" w:type="dxa"/>
            <w:gridSpan w:val="7"/>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b w:val="0"/>
                <w:i w:val="0"/>
                <w:color w:val="000000"/>
                <w:kern w:val="0"/>
                <w:sz w:val="28"/>
                <w:szCs w:val="28"/>
                <w:u w:val="none"/>
                <w:lang w:val="en-US" w:eastAsia="zh-CN" w:bidi="ar"/>
              </w:rPr>
              <w:t>一票否决指标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8"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1</w:t>
            </w:r>
          </w:p>
        </w:tc>
        <w:tc>
          <w:tcPr>
            <w:tcW w:w="4938"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因有提供虚假财务会计报告，做假账，隐匿或者故意销毁会计凭证、会计账簿、财务会计报告，贪污，挪用公款，职务侵占等与会计职务有关的违法行为被依法追究刑事责任的</w:t>
            </w:r>
          </w:p>
          <w:p>
            <w:pPr>
              <w:keepNext w:val="0"/>
              <w:keepLines w:val="0"/>
              <w:widowControl/>
              <w:suppressLineNumbers w:val="0"/>
              <w:spacing w:line="440" w:lineRule="exact"/>
              <w:jc w:val="left"/>
              <w:textAlignment w:val="center"/>
              <w:rPr>
                <w:rFonts w:hint="eastAsia" w:ascii="仿宋_GB2312" w:hAnsi="宋体" w:eastAsia="仿宋_GB2312" w:cs="仿宋_GB2312"/>
                <w:color w:val="000000"/>
                <w:kern w:val="0"/>
                <w:sz w:val="28"/>
                <w:szCs w:val="28"/>
                <w:lang w:bidi="ar"/>
              </w:rPr>
            </w:pPr>
          </w:p>
        </w:tc>
        <w:tc>
          <w:tcPr>
            <w:tcW w:w="1181"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《会计法》第四十条</w:t>
            </w:r>
          </w:p>
        </w:tc>
        <w:tc>
          <w:tcPr>
            <w:tcW w:w="648" w:type="dxa"/>
            <w:gridSpan w:val="2"/>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等级定为差</w:t>
            </w:r>
          </w:p>
        </w:tc>
        <w:tc>
          <w:tcPr>
            <w:tcW w:w="1026"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2</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串通作弊或者参与有组织作弊</w:t>
            </w:r>
          </w:p>
        </w:tc>
        <w:tc>
          <w:tcPr>
            <w:tcW w:w="1181"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《专业技术人员资格考试违纪违规行为处理规定》（人社部令第31号）第八条</w:t>
            </w:r>
          </w:p>
        </w:tc>
        <w:tc>
          <w:tcPr>
            <w:tcW w:w="648" w:type="dxa"/>
            <w:gridSpan w:val="2"/>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等级定为差</w:t>
            </w:r>
          </w:p>
        </w:tc>
        <w:tc>
          <w:tcPr>
            <w:tcW w:w="1026"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长期</w:t>
            </w:r>
          </w:p>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3</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代替他人或者让他人代替自己参加考试</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其他情节特别严重、影响恶劣的违纪违规行为</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5</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抄袭、协助他人抄袭试题答案或者与考试内容相关资料</w:t>
            </w:r>
          </w:p>
        </w:tc>
        <w:tc>
          <w:tcPr>
            <w:tcW w:w="1181"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《专业技术人员资格考试违纪违规行为处理规定》（人社部令第31号）第七条</w:t>
            </w:r>
          </w:p>
        </w:tc>
        <w:tc>
          <w:tcPr>
            <w:tcW w:w="648" w:type="dxa"/>
            <w:gridSpan w:val="2"/>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b w:val="0"/>
                <w:bCs w:val="0"/>
                <w:i w:val="0"/>
                <w:color w:val="auto"/>
                <w:kern w:val="0"/>
                <w:sz w:val="28"/>
                <w:szCs w:val="28"/>
                <w:u w:val="none"/>
                <w:lang w:val="en-US" w:eastAsia="zh-CN" w:bidi="ar"/>
              </w:rPr>
              <w:t>等级定为差</w:t>
            </w:r>
          </w:p>
        </w:tc>
        <w:tc>
          <w:tcPr>
            <w:tcW w:w="1026"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五年</w:t>
            </w:r>
          </w:p>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6</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互相传递试卷、答题纸、答题卡、草稿纸等</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7</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持伪造证件参加考试</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8</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本人离开考场后，在考试结束前，传播考试试题及答案</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9</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使用禁止带入考场的通讯工具、规定以外的电子用品</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10</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其他应当给予当次全部科目考试成绩无效处理的严重违纪违规行为</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bookmarkStart w:id="0" w:name="_GoBack" w:colFirst="0" w:colLast="3"/>
            <w:r>
              <w:rPr>
                <w:rFonts w:hint="eastAsia" w:ascii="仿宋_GB2312" w:hAnsi="宋体" w:eastAsia="仿宋_GB2312" w:cs="仿宋_GB2312"/>
                <w:i w:val="0"/>
                <w:color w:val="000000"/>
                <w:kern w:val="0"/>
                <w:sz w:val="28"/>
                <w:szCs w:val="28"/>
                <w:u w:val="none"/>
                <w:lang w:val="en-US" w:eastAsia="zh-CN" w:bidi="ar"/>
              </w:rPr>
              <w:t>11</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提供虚假证明材料或者以其他不正当手段取得相应资格证书或者成绩证明等严重违纪违规行为的，由证书签发机构宣布证书或者成绩证明无效，并按照人社部令第31号第七条处理。</w:t>
            </w:r>
          </w:p>
        </w:tc>
        <w:tc>
          <w:tcPr>
            <w:tcW w:w="1181"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i w:val="0"/>
                <w:color w:val="auto"/>
                <w:kern w:val="0"/>
                <w:sz w:val="28"/>
                <w:szCs w:val="28"/>
                <w:u w:val="none"/>
                <w:lang w:val="en-US" w:eastAsia="zh-CN" w:bidi="ar"/>
              </w:rPr>
              <w:t>《专业技术人员资格考试违纪违规行为处理规定》（人社部令第31号）第十条</w:t>
            </w:r>
          </w:p>
        </w:tc>
        <w:tc>
          <w:tcPr>
            <w:tcW w:w="648" w:type="dxa"/>
            <w:gridSpan w:val="2"/>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auto"/>
                <w:kern w:val="0"/>
                <w:sz w:val="28"/>
                <w:szCs w:val="28"/>
                <w:lang w:bidi="ar"/>
              </w:rPr>
            </w:pPr>
            <w:r>
              <w:rPr>
                <w:rFonts w:hint="eastAsia" w:ascii="仿宋_GB2312" w:hAnsi="宋体" w:eastAsia="仿宋_GB2312" w:cs="仿宋_GB2312"/>
                <w:b w:val="0"/>
                <w:bCs w:val="0"/>
                <w:i w:val="0"/>
                <w:color w:val="auto"/>
                <w:kern w:val="0"/>
                <w:sz w:val="28"/>
                <w:szCs w:val="28"/>
                <w:u w:val="none"/>
                <w:lang w:val="en-US" w:eastAsia="zh-CN" w:bidi="ar"/>
              </w:rPr>
              <w:t>等级定为差</w:t>
            </w:r>
          </w:p>
        </w:tc>
        <w:tc>
          <w:tcPr>
            <w:tcW w:w="1026"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五年</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12</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故意扰乱考点、考场等考试工作场所秩序的，根据情节严重程度，分别按照人社部令第31号第七条或八条处理的</w:t>
            </w:r>
          </w:p>
        </w:tc>
        <w:tc>
          <w:tcPr>
            <w:tcW w:w="1181"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《专业技术人员资格考试违纪违规行为处理规定》（人社部令第31号）第九条</w:t>
            </w:r>
          </w:p>
        </w:tc>
        <w:tc>
          <w:tcPr>
            <w:tcW w:w="648" w:type="dxa"/>
            <w:gridSpan w:val="2"/>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b w:val="0"/>
                <w:bCs w:val="0"/>
                <w:i w:val="0"/>
                <w:color w:val="000000"/>
                <w:kern w:val="0"/>
                <w:sz w:val="28"/>
                <w:szCs w:val="28"/>
                <w:u w:val="none"/>
                <w:lang w:val="en-US" w:eastAsia="zh-CN" w:bidi="ar"/>
              </w:rPr>
              <w:t>等级定为差</w:t>
            </w:r>
          </w:p>
        </w:tc>
        <w:tc>
          <w:tcPr>
            <w:tcW w:w="1026"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13</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拒绝、妨碍考试工作人员履行管理职责的，根据情节严重程度，分别按照人社部令第31号第七条或八条处理的</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restart"/>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18" w:type="dxa"/>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14</w:t>
            </w:r>
          </w:p>
        </w:tc>
        <w:tc>
          <w:tcPr>
            <w:tcW w:w="4938" w:type="dxa"/>
            <w:gridSpan w:val="2"/>
            <w:vAlign w:val="center"/>
          </w:tcPr>
          <w:p>
            <w:pPr>
              <w:keepNext w:val="0"/>
              <w:keepLines w:val="0"/>
              <w:widowControl/>
              <w:suppressLineNumbers w:val="0"/>
              <w:spacing w:beforeLines="0" w:afterLines="0" w:line="4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威胁、侮辱、诽谤、诬陷工作人员或者其他应试人员的，根据情节严重程度，分别按照人社部令第31号第七条或八条处理的</w:t>
            </w:r>
          </w:p>
        </w:tc>
        <w:tc>
          <w:tcPr>
            <w:tcW w:w="1181"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beforeLines="0" w:afterLines="0" w:line="42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18"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15</w:t>
            </w:r>
          </w:p>
        </w:tc>
        <w:tc>
          <w:tcPr>
            <w:tcW w:w="4938"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伪造、变造证件、证明材料参加高级会计专业技术资格评审</w:t>
            </w:r>
          </w:p>
        </w:tc>
        <w:tc>
          <w:tcPr>
            <w:tcW w:w="1181" w:type="dxa"/>
            <w:vMerge w:val="restart"/>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i w:val="0"/>
                <w:color w:val="000000"/>
                <w:kern w:val="0"/>
                <w:sz w:val="28"/>
                <w:szCs w:val="28"/>
                <w:u w:val="none"/>
                <w:lang w:val="en-US" w:eastAsia="zh-CN" w:bidi="ar"/>
              </w:rPr>
              <w:t>《浙江省高级会计师职务任职资格评价条件和浙江省正高级会计师职务任职资格评价条件的通知》（浙财会〔2019〕36号）</w:t>
            </w:r>
          </w:p>
        </w:tc>
        <w:tc>
          <w:tcPr>
            <w:tcW w:w="648" w:type="dxa"/>
            <w:gridSpan w:val="2"/>
            <w:vMerge w:val="restart"/>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b w:val="0"/>
                <w:bCs w:val="0"/>
                <w:i w:val="0"/>
                <w:color w:val="000000"/>
                <w:kern w:val="0"/>
                <w:sz w:val="28"/>
                <w:szCs w:val="28"/>
                <w:u w:val="none"/>
                <w:lang w:val="en-US" w:eastAsia="zh-CN" w:bidi="ar"/>
              </w:rPr>
              <w:t>等级定为差</w:t>
            </w:r>
          </w:p>
        </w:tc>
        <w:tc>
          <w:tcPr>
            <w:tcW w:w="1026" w:type="dxa"/>
            <w:vMerge w:val="restart"/>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三年</w:t>
            </w:r>
          </w:p>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18"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16</w:t>
            </w:r>
          </w:p>
        </w:tc>
        <w:tc>
          <w:tcPr>
            <w:tcW w:w="4938"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提交虚假申报材料参加高级会计专业技术资格评审</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18"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17</w:t>
            </w:r>
          </w:p>
        </w:tc>
        <w:tc>
          <w:tcPr>
            <w:tcW w:w="4938"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eastAsia="zh-CN" w:bidi="ar"/>
              </w:rPr>
              <w:t>在申报材料中瞒报会计师（高级会计师）职务任职资格后曾有严重违纪违法行为的和因严重严重违纪违法行为，仍在处理、处分、处罚阶段申报高级会计师（正高级会计师）</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618" w:type="dxa"/>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i w:val="0"/>
                <w:color w:val="000000"/>
                <w:kern w:val="0"/>
                <w:sz w:val="28"/>
                <w:szCs w:val="28"/>
                <w:u w:val="none"/>
                <w:lang w:val="en-US" w:eastAsia="zh-CN" w:bidi="ar"/>
              </w:rPr>
              <w:t>18</w:t>
            </w:r>
          </w:p>
        </w:tc>
        <w:tc>
          <w:tcPr>
            <w:tcW w:w="4938" w:type="dxa"/>
            <w:gridSpan w:val="2"/>
            <w:vAlign w:val="center"/>
          </w:tcPr>
          <w:p>
            <w:pPr>
              <w:keepNext w:val="0"/>
              <w:keepLines w:val="0"/>
              <w:widowControl/>
              <w:suppressLineNumbers w:val="0"/>
              <w:spacing w:line="44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eastAsia="zh-CN" w:bidi="ar"/>
              </w:rPr>
              <w:t>其他严重违反高级会计师或正高级会计师评审规定</w:t>
            </w:r>
          </w:p>
        </w:tc>
        <w:tc>
          <w:tcPr>
            <w:tcW w:w="1181"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648" w:type="dxa"/>
            <w:gridSpan w:val="2"/>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color w:val="000000"/>
                <w:kern w:val="0"/>
                <w:sz w:val="28"/>
                <w:szCs w:val="28"/>
                <w:lang w:bidi="ar"/>
              </w:rPr>
            </w:pPr>
          </w:p>
        </w:tc>
        <w:tc>
          <w:tcPr>
            <w:tcW w:w="1026" w:type="dxa"/>
            <w:vMerge w:val="continue"/>
            <w:vAlign w:val="center"/>
          </w:tcPr>
          <w:p>
            <w:pPr>
              <w:keepNext w:val="0"/>
              <w:keepLines w:val="0"/>
              <w:widowControl/>
              <w:suppressLineNumbers w:val="0"/>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p>
        </w:tc>
      </w:tr>
    </w:tbl>
    <w:p>
      <w:pPr>
        <w:spacing w:beforeLines="0" w:afterLines="0" w:line="600" w:lineRule="exact"/>
        <w:ind w:firstLine="640"/>
        <w:rPr>
          <w:rFonts w:hint="eastAsia" w:ascii="仿宋_GB2312" w:hAnsi="仿宋_GB2312" w:eastAsia="仿宋_GB2312" w:cs="仿宋_GB2312"/>
          <w:b w:val="0"/>
          <w:i w:val="0"/>
          <w:caps w:val="0"/>
          <w:color w:val="auto"/>
          <w:spacing w:val="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F16DA"/>
    <w:rsid w:val="1A8F570F"/>
    <w:rsid w:val="24233A57"/>
    <w:rsid w:val="3D6A5CA1"/>
    <w:rsid w:val="573F6E7F"/>
    <w:rsid w:val="76B7187F"/>
    <w:rsid w:val="76BE01FE"/>
    <w:rsid w:val="7C3F491D"/>
    <w:rsid w:val="FEFE7C8D"/>
    <w:rsid w:val="FFE9A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sxszf</cp:lastModifiedBy>
  <dcterms:modified xsi:type="dcterms:W3CDTF">2021-11-04T08:49:39Z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