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rPr>
          <w:color w:val="FF0000"/>
        </w:rPr>
        <w:t>境外上市登记申请表</w:t>
      </w:r>
    </w:p>
    <w:bookmarkEnd w:id="0"/>
    <w:p>
      <w:pPr>
        <w:pStyle w:val="2"/>
        <w:keepNext w:val="0"/>
        <w:keepLines w:val="0"/>
        <w:widowControl/>
        <w:suppressLineNumbers w:val="0"/>
        <w:jc w:val="center"/>
      </w:pPr>
      <w:r>
        <w:t>登记类别： □登记 □变更登记 登记编号(银行填写):</w:t>
      </w:r>
    </w:p>
    <w:tbl>
      <w:tblPr>
        <w:tblW w:w="750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6"/>
        <w:gridCol w:w="657"/>
        <w:gridCol w:w="575"/>
        <w:gridCol w:w="856"/>
        <w:gridCol w:w="713"/>
        <w:gridCol w:w="546"/>
        <w:gridCol w:w="570"/>
        <w:gridCol w:w="553"/>
        <w:gridCol w:w="14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境外上市的境内公司(以下简称境内公司)基本信息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境内公司名称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注册地址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上市地及证券交易所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上市时间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证监会批准文号</w:t>
            </w:r>
          </w:p>
        </w:tc>
        <w:tc>
          <w:tcPr>
            <w:tcW w:w="0" w:type="auto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证券名称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证券代码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总股数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总股本金额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币种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总股本变更原因</w:t>
            </w:r>
          </w:p>
        </w:tc>
        <w:tc>
          <w:tcPr>
            <w:tcW w:w="0" w:type="auto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□增发(含超额配售) □回购 □可转债转股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□资本公积、盈余公积、未分配利润转增股本其他(具体说明：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主要境内股东的基本信息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名称(或姓名)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统一社会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信用代码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持股比例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注册地址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境内股东1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境内股东2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(可加行)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发行信息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发行方式</w:t>
            </w:r>
          </w:p>
        </w:tc>
        <w:tc>
          <w:tcPr>
            <w:tcW w:w="0" w:type="auto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□首次发行 □增发(含超额配售)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发行种类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股票</w:t>
            </w:r>
          </w:p>
        </w:tc>
        <w:tc>
          <w:tcPr>
            <w:tcW w:w="0" w:type="auto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存托凭证</w:t>
            </w:r>
          </w:p>
        </w:tc>
        <w:tc>
          <w:tcPr>
            <w:tcW w:w="0" w:type="auto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普通股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优先股</w:t>
            </w: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名称及代码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发行时间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发行数量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实际募集资金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金额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币种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合计金额(折美元)</w:t>
            </w: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750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9"/>
        <w:gridCol w:w="687"/>
        <w:gridCol w:w="618"/>
        <w:gridCol w:w="1306"/>
        <w:gridCol w:w="54"/>
        <w:gridCol w:w="42"/>
        <w:gridCol w:w="1776"/>
        <w:gridCol w:w="164"/>
        <w:gridCol w:w="598"/>
        <w:gridCol w:w="573"/>
        <w:gridCol w:w="1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1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发行募集资金运用信息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国有股减持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上缴社保基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金情况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国有股东减持股数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减持金额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币种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国有股东上缴社保基金股数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上缴社保基金金额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币种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募集资金运用计划</w:t>
            </w:r>
          </w:p>
        </w:tc>
        <w:tc>
          <w:tcPr>
            <w:tcW w:w="0" w:type="auto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留存境外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用途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金额</w:t>
            </w: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币种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经常项下境外支付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境外投资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境外放款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现金留存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调回境内</w:t>
            </w:r>
          </w:p>
        </w:tc>
        <w:tc>
          <w:tcPr>
            <w:tcW w:w="0" w:type="auto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调回资金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折美元合计</w:t>
            </w:r>
          </w:p>
        </w:tc>
        <w:tc>
          <w:tcPr>
            <w:tcW w:w="0" w:type="auto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其中：结汇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账户信息</w:t>
            </w: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开户银行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境外上市外汇专用账户账号</w:t>
            </w: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结汇待支付账户账号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募集资金实际运用情况</w:t>
            </w:r>
          </w:p>
        </w:tc>
        <w:tc>
          <w:tcPr>
            <w:tcW w:w="0" w:type="auto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留存境外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用途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金额</w:t>
            </w: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币种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经常项下境外支付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境外投资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境外放款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现金留存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调回境内</w:t>
            </w:r>
          </w:p>
        </w:tc>
        <w:tc>
          <w:tcPr>
            <w:tcW w:w="0" w:type="auto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调回资金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折美元合计</w:t>
            </w:r>
          </w:p>
        </w:tc>
        <w:tc>
          <w:tcPr>
            <w:tcW w:w="0" w:type="auto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其中：结汇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  <w:jc w:val="center"/>
        </w:trPr>
        <w:tc>
          <w:tcPr>
            <w:tcW w:w="0" w:type="auto"/>
            <w:gridSpan w:val="11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回购境外股份信息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证监会许可文号(如有)</w:t>
            </w:r>
          </w:p>
        </w:tc>
        <w:tc>
          <w:tcPr>
            <w:tcW w:w="0" w:type="auto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回购计划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回购证券种类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回购数量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回购金额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回购期限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计划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境外解决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币种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750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0"/>
        <w:gridCol w:w="1361"/>
        <w:gridCol w:w="983"/>
        <w:gridCol w:w="1172"/>
        <w:gridCol w:w="1549"/>
        <w:gridCol w:w="983"/>
        <w:gridCol w:w="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使用金额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境内汇出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购汇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币种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自有外汇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币种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人民币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回购完成情况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回购证券种类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回购数量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回购金额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回购期限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实际使用金额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境外解决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币种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境内汇出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购汇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币种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自有外汇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币种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人民币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回购剩余资金调回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调回资金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币种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币种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折美元合计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  <w:jc w:val="center"/>
        </w:trPr>
        <w:tc>
          <w:tcPr>
            <w:tcW w:w="0" w:type="auto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可转债转股信息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证监会许可文号(如有)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外债登记编号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转换比例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债转股前债券总数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债转股前总股数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  <w:jc w:val="center"/>
        </w:trPr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本次转换债券数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本次转换股数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其他需要说明的信息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  <w:jc w:val="center"/>
        </w:trPr>
        <w:tc>
          <w:tcPr>
            <w:tcW w:w="0" w:type="auto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本公司承诺对此登记表中由本公司填写内容的真实性负责，并承诺按照外汇管 理有关规定办理相关业务，接受国家外汇管理部门的监督、管理和检查。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境外上市的境内公司(名称及公章):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年 月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　　填表说明：</w:t>
      </w:r>
    </w:p>
    <w:p>
      <w:pPr>
        <w:pStyle w:val="2"/>
        <w:keepNext w:val="0"/>
        <w:keepLines w:val="0"/>
        <w:widowControl/>
        <w:suppressLineNumbers w:val="0"/>
      </w:pPr>
      <w:r>
        <w:t>　　1.境内公司填报本登记表，银行审核无误并在资本项目信息系统办理登记后，将加盖业务印章的业务登记凭证交辖内公司。</w:t>
      </w:r>
    </w:p>
    <w:p>
      <w:pPr>
        <w:pStyle w:val="2"/>
        <w:keepNext w:val="0"/>
        <w:keepLines w:val="0"/>
        <w:widowControl/>
        <w:suppressLineNumbers w:val="0"/>
      </w:pPr>
      <w:r>
        <w:t>　　2.若本登记表中已经银行登记确认的相关事项发生变更，境内公司申请办理变更登记时，应按照变更后的内容重新填写本登记表，并对变更内容进行标注。银行审核无误后在资本项目信息系统办理变更登记，并向境内公司出具新的加盖业务印章的业务登记凭证，同时收回原业务登记凭证。</w:t>
      </w:r>
    </w:p>
    <w:p/>
    <w:sectPr>
      <w:footerReference r:id="rId5" w:type="default"/>
      <w:pgSz w:w="11870" w:h="16740"/>
      <w:pgMar w:top="1422" w:right="1549" w:bottom="1716" w:left="1410" w:header="0" w:footer="132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ind w:left="40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3"/>
        <w:sz w:val="30"/>
        <w:szCs w:val="30"/>
      </w:rPr>
      <w:t>-</w:t>
    </w:r>
    <w:r>
      <w:rPr>
        <w:rFonts w:ascii="仿宋" w:hAnsi="仿宋" w:eastAsia="仿宋" w:cs="仿宋"/>
        <w:spacing w:val="-2"/>
        <w:sz w:val="30"/>
        <w:szCs w:val="30"/>
      </w:rPr>
      <w:t>14-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NmYTE1Mjc3ZWM3ZDk4ZDhjODViMGJiNjRlMTQ2YjkifQ=="/>
  </w:docVars>
  <w:rsids>
    <w:rsidRoot w:val="00000000"/>
    <w:rsid w:val="6D236C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5071</Words>
  <Characters>5126</Characters>
  <TotalTime>7</TotalTime>
  <ScaleCrop>false</ScaleCrop>
  <LinksUpToDate>false</LinksUpToDate>
  <CharactersWithSpaces>5324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2022-08-19T08:26:00Z</dcterms:created>
  <dc:creator>Kingsoft-PDF</dc:creator>
  <cp:keywords>62fed8a4b7aa140015e5cfa6</cp:keywords>
  <cp:lastModifiedBy>快乐可爱的喵小咪</cp:lastModifiedBy>
  <dcterms:modified xsi:type="dcterms:W3CDTF">2022-08-19T02:17:44Z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2022-08-19T08:26:27Z</vt:filetime>
  </property>
  <property fmtid="{D5CDD505-2E9C-101B-9397-08002B2CF9AE}" pid="4" name="KSOProductBuildVer">
    <vt:lpwstr>2052-11.1.0.12313</vt:lpwstr>
  </property>
  <property fmtid="{D5CDD505-2E9C-101B-9397-08002B2CF9AE}" pid="5" name="ICV">
    <vt:lpwstr>15FD74C18E1D412788A4E00881C019D3</vt:lpwstr>
  </property>
</Properties>
</file>