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beforeLines="0" w:afterLines="0"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Lines="0" w:afterLines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年度绩效自评报告</w:t>
      </w:r>
    </w:p>
    <w:p>
      <w:pPr>
        <w:spacing w:beforeLines="0" w:afterLines="0"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（参考模板）</w:t>
      </w:r>
    </w:p>
    <w:p>
      <w:pPr>
        <w:widowControl/>
        <w:adjustRightInd w:val="0"/>
        <w:snapToGrid w:val="0"/>
        <w:spacing w:beforeLines="0" w:afterLines="0" w:line="600" w:lineRule="exact"/>
        <w:rPr>
          <w:rFonts w:ascii="Times New Roman" w:hAnsi="Times New Roman" w:eastAsia="黑体" w:cs="Times New Roman"/>
          <w:bCs/>
          <w:spacing w:val="-4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ascii="Times New Roman" w:hAnsi="Times New Roman" w:eastAsia="黑体" w:cs="Times New Roman"/>
          <w:bCs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-4"/>
          <w:kern w:val="0"/>
          <w:sz w:val="32"/>
          <w:szCs w:val="32"/>
        </w:rPr>
        <w:t>一、基金概况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（一）基金设立背景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（包括基金设立的政策背景与产业背景等）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（二）基金要素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（包括基金计划募资规模、主要政府与社会出资人、资金到位时间计划、行业主管部门、基金管理人、基金托管人、基金投资方向、投资策略等）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（三）基金绩效目标和绩效指标情况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（包括预期总目标及阶段性目标，衡量绩效目标实现程度的评价指标、标准等）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ascii="Times New Roman" w:hAnsi="Times New Roman" w:eastAsia="黑体" w:cs="Times New Roman"/>
          <w:bCs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-4"/>
          <w:kern w:val="0"/>
          <w:sz w:val="32"/>
          <w:szCs w:val="32"/>
        </w:rPr>
        <w:t>二、基金投资管理情况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（一）基金资金使用情况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（包括计划募资总规模、资金到位计划、实际出资到位情况、已投资金、剩余资金等）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（二）基金投资情况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（包括基金的投资进度情况、退出进度情况、已投项目简介及投资分析等）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ascii="Times New Roman" w:hAnsi="Times New Roman" w:eastAsia="黑体" w:cs="Times New Roman"/>
          <w:bCs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-4"/>
          <w:kern w:val="0"/>
          <w:sz w:val="32"/>
          <w:szCs w:val="32"/>
        </w:rPr>
        <w:t>三、基金绩效目标完成情况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（一）基金绩效目标完成情况分析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（将基金实际完成情况与绩效目标和指标逐项对比，从基金设立与运作的政策引导性、管理规范性、财务效益性和加分项等方面进行具体分析，并得出每项自评得分）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（二）基金绩效目标未完成情况及原因分析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（逐项分析绩效目标指标未完成情况及原因）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kern w:val="0"/>
          <w:sz w:val="32"/>
          <w:szCs w:val="32"/>
        </w:rPr>
        <w:t>（三）下一步改进工作的计划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（根据绩效目标指标未完成情况和原因，明确下一步改进计划）</w:t>
      </w:r>
    </w:p>
    <w:p>
      <w:pPr>
        <w:widowControl/>
        <w:adjustRightInd w:val="0"/>
        <w:snapToGrid w:val="0"/>
        <w:spacing w:beforeLines="0" w:afterLines="0" w:line="600" w:lineRule="exact"/>
        <w:ind w:firstLine="624" w:firstLineChars="200"/>
        <w:rPr>
          <w:rFonts w:ascii="Times New Roman" w:hAnsi="Times New Roman" w:eastAsia="黑体" w:cs="Times New Roman"/>
          <w:bCs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-4"/>
          <w:kern w:val="0"/>
          <w:sz w:val="32"/>
          <w:szCs w:val="32"/>
        </w:rPr>
        <w:t>四、其他需要说明的事项和附件</w:t>
      </w:r>
    </w:p>
    <w:p>
      <w:pPr>
        <w:widowControl/>
        <w:adjustRightInd w:val="0"/>
        <w:snapToGrid w:val="0"/>
        <w:spacing w:before="0" w:beforeLines="0" w:after="0" w:afterLines="0"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（本部分应附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基金绩效评价指标体系表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并标明评分结果，可阐释需要说明的其他问题、相关建议及应作为附件的相关佐证材料等）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YWMzMjM3ZWUzYjQyNThlY2MzOTY3YjUzMmMwMTEifQ=="/>
  </w:docVars>
  <w:rsids>
    <w:rsidRoot w:val="003D7933"/>
    <w:rsid w:val="00034A4E"/>
    <w:rsid w:val="00062616"/>
    <w:rsid w:val="00082E97"/>
    <w:rsid w:val="0012058B"/>
    <w:rsid w:val="001F4475"/>
    <w:rsid w:val="002141E9"/>
    <w:rsid w:val="0023188C"/>
    <w:rsid w:val="00284993"/>
    <w:rsid w:val="002C4AC6"/>
    <w:rsid w:val="0030506D"/>
    <w:rsid w:val="00315E0D"/>
    <w:rsid w:val="00331DD4"/>
    <w:rsid w:val="00341CA5"/>
    <w:rsid w:val="00351206"/>
    <w:rsid w:val="003D7933"/>
    <w:rsid w:val="00466CED"/>
    <w:rsid w:val="005055BE"/>
    <w:rsid w:val="00520C74"/>
    <w:rsid w:val="005255BE"/>
    <w:rsid w:val="007651D9"/>
    <w:rsid w:val="0092245C"/>
    <w:rsid w:val="00953DA8"/>
    <w:rsid w:val="009A2B3B"/>
    <w:rsid w:val="009F47CD"/>
    <w:rsid w:val="00A94A78"/>
    <w:rsid w:val="00B12AF6"/>
    <w:rsid w:val="00BA35D3"/>
    <w:rsid w:val="00C21DDC"/>
    <w:rsid w:val="00E64AE6"/>
    <w:rsid w:val="00E91B9E"/>
    <w:rsid w:val="00F41112"/>
    <w:rsid w:val="00F52661"/>
    <w:rsid w:val="00F75E05"/>
    <w:rsid w:val="041A2E75"/>
    <w:rsid w:val="047974D7"/>
    <w:rsid w:val="08C61A7A"/>
    <w:rsid w:val="20A20F49"/>
    <w:rsid w:val="2A3106BB"/>
    <w:rsid w:val="2D6E4329"/>
    <w:rsid w:val="376033C8"/>
    <w:rsid w:val="4802207C"/>
    <w:rsid w:val="62A00B18"/>
    <w:rsid w:val="74142E97"/>
    <w:rsid w:val="7A804024"/>
    <w:rsid w:val="7AD42D22"/>
    <w:rsid w:val="7BBBC3F9"/>
    <w:rsid w:val="7E8C749B"/>
    <w:rsid w:val="EFD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uiPriority w:val="99"/>
    <w:rPr>
      <w:b/>
      <w:bCs/>
      <w:kern w:val="2"/>
      <w:sz w:val="21"/>
      <w:szCs w:val="22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2023-10-10T00:21:00Z</dcterms:created>
  <dc:creator>wljtw</dc:creator>
  <cp:lastModifiedBy>异尘</cp:lastModifiedBy>
  <dcterms:modified xsi:type="dcterms:W3CDTF">2023-12-15T07:48:11Z</dcterms:modified>
  <dc:title>附件2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1B78BDF30CF54D2BA33D77D524001ED4</vt:lpwstr>
  </property>
</Properties>
</file>