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napToGrid w:val="0"/>
        <w:spacing w:line="360" w:lineRule="auto"/>
        <w:ind w:right="460"/>
        <w:jc w:val="left"/>
        <w:rPr>
          <w:rFonts w:hint="eastAsia" w:ascii="方正小标宋_GBK" w:hAnsi="方正小标宋_GBK" w:eastAsia="方正小标宋_GBK" w:cs="方正小标宋_GBK"/>
          <w:b w:val="0"/>
          <w:bCs w:val="0"/>
          <w:color w:val="000000"/>
          <w:kern w:val="0"/>
          <w:sz w:val="44"/>
          <w:szCs w:val="44"/>
        </w:rPr>
      </w:pPr>
      <w:r>
        <w:rPr>
          <w:rFonts w:hint="eastAsia" w:ascii="黑体" w:hAnsi="黑体" w:eastAsia="黑体" w:cs="黑体"/>
          <w:b w:val="0"/>
          <w:bCs w:val="0"/>
          <w:kern w:val="0"/>
          <w:sz w:val="32"/>
          <w:szCs w:val="32"/>
        </w:rPr>
        <w:t>附</w:t>
      </w:r>
      <w:r>
        <w:rPr>
          <w:rFonts w:hint="eastAsia" w:ascii="黑体" w:hAnsi="黑体" w:eastAsia="黑体" w:cs="黑体"/>
          <w:b w:val="0"/>
          <w:bCs w:val="0"/>
          <w:kern w:val="0"/>
          <w:sz w:val="32"/>
          <w:szCs w:val="32"/>
          <w:lang w:eastAsia="zh-CN"/>
        </w:rPr>
        <w:t>件</w:t>
      </w:r>
      <w:bookmarkStart w:id="0" w:name="_GoBack"/>
      <w:bookmarkEnd w:id="0"/>
      <w:r>
        <w:rPr>
          <w:rFonts w:hint="eastAsia" w:ascii="黑体" w:hAnsi="黑体" w:eastAsia="黑体" w:cs="黑体"/>
          <w:b w:val="0"/>
          <w:bCs w:val="0"/>
          <w:kern w:val="0"/>
          <w:sz w:val="32"/>
          <w:szCs w:val="32"/>
          <w:lang w:val="en-US" w:eastAsia="zh-CN"/>
        </w:rPr>
        <w:t>1</w:t>
      </w:r>
      <w:r>
        <w:rPr>
          <w:rFonts w:hint="eastAsia" w:ascii="方正小标宋_GBK" w:hAnsi="方正小标宋_GBK" w:eastAsia="方正小标宋_GBK" w:cs="方正小标宋_GBK"/>
          <w:b w:val="0"/>
          <w:bCs w:val="0"/>
          <w:color w:val="000000"/>
          <w:kern w:val="0"/>
          <w:sz w:val="44"/>
          <w:szCs w:val="44"/>
        </w:rPr>
        <w:t xml:space="preserve"> </w:t>
      </w:r>
    </w:p>
    <w:p>
      <w:pPr>
        <w:keepNext w:val="0"/>
        <w:keepLines w:val="0"/>
        <w:pageBreakBefore w:val="0"/>
        <w:widowControl w:val="0"/>
        <w:kinsoku/>
        <w:wordWrap/>
        <w:autoSpaceDE/>
        <w:autoSpaceDN/>
        <w:snapToGrid/>
        <w:spacing w:before="0" w:beforeLines="0" w:beforeAutospacing="0" w:after="0" w:afterLines="0" w:afterAutospacing="0" w:line="578" w:lineRule="exact"/>
        <w:ind w:left="0" w:leftChars="0" w:right="0" w:firstLine="0" w:firstLineChars="0"/>
        <w:jc w:val="center"/>
        <w:textAlignment w:val="baseline"/>
        <w:rPr>
          <w:rFonts w:hint="default" w:ascii="Times New Roman" w:hAnsi="Times New Roman" w:eastAsia="黑体" w:cs="Times New Roman"/>
          <w:color w:val="auto"/>
          <w:kern w:val="2"/>
          <w:sz w:val="36"/>
          <w:szCs w:val="36"/>
          <w:lang w:val="en-US" w:eastAsia="zh-CN"/>
        </w:rPr>
      </w:pPr>
      <w:r>
        <w:rPr>
          <w:rFonts w:hint="default" w:ascii="Times New Roman" w:hAnsi="Times New Roman" w:eastAsia="黑体" w:cs="Times New Roman"/>
          <w:color w:val="auto"/>
          <w:kern w:val="2"/>
          <w:sz w:val="36"/>
          <w:szCs w:val="36"/>
          <w:lang w:val="en-US" w:eastAsia="zh-CN"/>
        </w:rPr>
        <w:t>国家外汇管理局福建省分局</w:t>
      </w:r>
    </w:p>
    <w:p>
      <w:pPr>
        <w:keepNext w:val="0"/>
        <w:keepLines w:val="0"/>
        <w:pageBreakBefore w:val="0"/>
        <w:widowControl w:val="0"/>
        <w:kinsoku/>
        <w:wordWrap/>
        <w:autoSpaceDE/>
        <w:autoSpaceDN/>
        <w:snapToGrid/>
        <w:spacing w:before="0" w:beforeLines="0" w:beforeAutospacing="0" w:after="0" w:afterLines="0" w:afterAutospacing="0" w:line="578" w:lineRule="exact"/>
        <w:ind w:left="0" w:leftChars="0" w:right="0" w:firstLine="0" w:firstLineChars="0"/>
        <w:jc w:val="center"/>
        <w:textAlignment w:val="baseline"/>
        <w:rPr>
          <w:rFonts w:hint="default" w:ascii="Times New Roman" w:hAnsi="Times New Roman" w:eastAsia="黑体" w:cs="Times New Roman"/>
          <w:color w:val="auto"/>
          <w:kern w:val="2"/>
          <w:sz w:val="36"/>
          <w:szCs w:val="36"/>
          <w:lang w:val="en-US" w:eastAsia="zh-CN"/>
        </w:rPr>
      </w:pPr>
      <w:r>
        <w:rPr>
          <w:rFonts w:hint="default" w:ascii="Times New Roman" w:hAnsi="Times New Roman" w:eastAsia="黑体" w:cs="Times New Roman"/>
          <w:color w:val="auto"/>
          <w:kern w:val="2"/>
          <w:sz w:val="36"/>
          <w:szCs w:val="36"/>
          <w:lang w:val="en-US" w:eastAsia="zh-CN"/>
        </w:rPr>
        <w:t>跨境贸易高水平开放实施细则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p>
    <w:p>
      <w:pPr>
        <w:spacing w:line="640" w:lineRule="exact"/>
        <w:jc w:val="center"/>
        <w:rPr>
          <w:rFonts w:hint="eastAsia" w:ascii="仿宋_GB2312"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第一条</w:t>
      </w:r>
      <w:r>
        <w:rPr>
          <w:rFonts w:hint="default" w:ascii="Times New Roman" w:hAnsi="Times New Roman" w:eastAsia="仿宋_GB2312" w:cs="Times New Roman"/>
          <w:bCs/>
          <w:sz w:val="32"/>
          <w:szCs w:val="32"/>
        </w:rPr>
        <w:t xml:space="preserve"> 为加快构建新发展格局、着力推动高质量发展，进一步提升外汇管理服务实体经济能力，根据《中华人民共和国外汇管理条例》等相关规定，制定本实施细则。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第二条</w:t>
      </w:r>
      <w:r>
        <w:rPr>
          <w:rFonts w:hint="default" w:ascii="Times New Roman" w:hAnsi="Times New Roman" w:eastAsia="仿宋_GB2312" w:cs="Times New Roman"/>
          <w:bCs/>
          <w:sz w:val="32"/>
          <w:szCs w:val="32"/>
        </w:rPr>
        <w:t xml:space="preserve"> 符合条件的</w:t>
      </w:r>
      <w:r>
        <w:rPr>
          <w:rFonts w:hint="eastAsia" w:ascii="Times New Roman" w:hAnsi="Times New Roman" w:eastAsia="仿宋_GB2312" w:cs="Times New Roman"/>
          <w:bCs/>
          <w:sz w:val="32"/>
          <w:szCs w:val="32"/>
          <w:lang w:eastAsia="zh-CN"/>
        </w:rPr>
        <w:t>试点地区</w:t>
      </w:r>
      <w:r>
        <w:rPr>
          <w:rFonts w:hint="default" w:ascii="Times New Roman" w:hAnsi="Times New Roman" w:eastAsia="仿宋_GB2312" w:cs="Times New Roman"/>
          <w:bCs/>
          <w:sz w:val="32"/>
          <w:szCs w:val="32"/>
        </w:rPr>
        <w:t>审慎合规银行（以下简称审慎合规银行），及审慎合规银行确定的</w:t>
      </w:r>
      <w:r>
        <w:rPr>
          <w:rFonts w:hint="eastAsia" w:ascii="Times New Roman" w:hAnsi="Times New Roman" w:eastAsia="仿宋_GB2312" w:cs="Times New Roman"/>
          <w:bCs/>
          <w:sz w:val="32"/>
          <w:szCs w:val="32"/>
          <w:lang w:eastAsia="zh-CN"/>
        </w:rPr>
        <w:t>试点地区</w:t>
      </w:r>
      <w:r>
        <w:rPr>
          <w:rFonts w:hint="default" w:ascii="Times New Roman" w:hAnsi="Times New Roman" w:eastAsia="仿宋_GB2312" w:cs="Times New Roman"/>
          <w:bCs/>
          <w:sz w:val="32"/>
          <w:szCs w:val="32"/>
        </w:rPr>
        <w:t>优质企业（以下简称优质企业），适用本实施细则规定的跨境贸易高水平开放便利化业务（以下简称便利化业务）。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第三条</w:t>
      </w:r>
      <w:r>
        <w:rPr>
          <w:rFonts w:hint="default" w:ascii="Times New Roman" w:hAnsi="Times New Roman" w:eastAsia="仿宋_GB2312" w:cs="Times New Roman"/>
          <w:bCs/>
          <w:sz w:val="32"/>
          <w:szCs w:val="32"/>
        </w:rPr>
        <w:t xml:space="preserve"> 优质企业经常项目外汇收支，应具有真实合法的交易基础。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审慎合规银行按照“了解客户、了解业务、尽职审查”等展业原则为优质企业办理经常项目外汇收支，履行反洗钱、反恐怖融资和反逃税义务，确认收支的真实性、合理性和逻辑性。</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第四条</w:t>
      </w:r>
      <w:r>
        <w:rPr>
          <w:rFonts w:hint="default" w:ascii="Times New Roman" w:hAnsi="Times New Roman" w:eastAsia="仿宋_GB2312" w:cs="Times New Roman"/>
          <w:bCs/>
          <w:sz w:val="32"/>
          <w:szCs w:val="32"/>
        </w:rPr>
        <w:t xml:space="preserve"> 银行开展便利化业务，应同时具备以下条件：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（一）在</w:t>
      </w:r>
      <w:r>
        <w:rPr>
          <w:rFonts w:hint="eastAsia" w:ascii="Times New Roman" w:hAnsi="Times New Roman" w:eastAsia="仿宋_GB2312" w:cs="Times New Roman"/>
          <w:bCs/>
          <w:sz w:val="32"/>
          <w:szCs w:val="32"/>
          <w:lang w:eastAsia="zh-CN"/>
        </w:rPr>
        <w:t>国家外汇管理局福建省分局（以下简称福建省分局）辖</w:t>
      </w:r>
      <w:r>
        <w:rPr>
          <w:rFonts w:hint="default" w:ascii="Times New Roman" w:hAnsi="Times New Roman" w:eastAsia="仿宋_GB2312" w:cs="Times New Roman"/>
          <w:bCs/>
          <w:sz w:val="32"/>
          <w:szCs w:val="32"/>
        </w:rPr>
        <w:t>内</w:t>
      </w:r>
      <w:r>
        <w:rPr>
          <w:rFonts w:hint="eastAsia" w:ascii="Times New Roman" w:hAnsi="Times New Roman" w:eastAsia="仿宋_GB2312" w:cs="Times New Roman"/>
          <w:bCs/>
          <w:sz w:val="32"/>
          <w:szCs w:val="32"/>
          <w:lang w:eastAsia="zh-CN"/>
        </w:rPr>
        <w:t>试点地区</w:t>
      </w:r>
      <w:r>
        <w:rPr>
          <w:rFonts w:hint="default" w:ascii="Times New Roman" w:hAnsi="Times New Roman" w:eastAsia="仿宋_GB2312" w:cs="Times New Roman"/>
          <w:bCs/>
          <w:sz w:val="32"/>
          <w:szCs w:val="32"/>
        </w:rPr>
        <w:t>注册经营的银行一级分行或地方性银行总行</w:t>
      </w:r>
      <w:r>
        <w:rPr>
          <w:rFonts w:hint="eastAsia" w:ascii="Times New Roman" w:hAnsi="Times New Roman" w:eastAsia="仿宋_GB2312" w:cs="Times New Roman"/>
          <w:bCs/>
          <w:sz w:val="32"/>
          <w:szCs w:val="32"/>
          <w:lang w:eastAsia="zh-CN"/>
        </w:rPr>
        <w:t>，以及</w:t>
      </w:r>
      <w:r>
        <w:rPr>
          <w:rFonts w:hint="default" w:ascii="Times New Roman" w:hAnsi="Times New Roman" w:eastAsia="仿宋_GB2312" w:cs="Times New Roman"/>
          <w:bCs/>
          <w:color w:val="auto"/>
          <w:sz w:val="32"/>
          <w:szCs w:val="32"/>
        </w:rPr>
        <w:t>一级分行</w:t>
      </w:r>
      <w:r>
        <w:rPr>
          <w:rFonts w:hint="eastAsia" w:ascii="Times New Roman" w:hAnsi="Times New Roman" w:eastAsia="仿宋_GB2312" w:cs="Times New Roman"/>
          <w:bCs/>
          <w:color w:val="auto"/>
          <w:sz w:val="32"/>
          <w:szCs w:val="32"/>
          <w:lang w:eastAsia="zh-CN"/>
        </w:rPr>
        <w:t>归</w:t>
      </w:r>
      <w:r>
        <w:rPr>
          <w:rFonts w:hint="default" w:ascii="Times New Roman" w:hAnsi="Times New Roman" w:eastAsia="仿宋_GB2312" w:cs="Times New Roman"/>
          <w:bCs/>
          <w:color w:val="auto"/>
          <w:sz w:val="32"/>
          <w:szCs w:val="32"/>
        </w:rPr>
        <w:t>属</w:t>
      </w:r>
      <w:r>
        <w:rPr>
          <w:rFonts w:hint="eastAsia" w:ascii="Times New Roman" w:hAnsi="Times New Roman" w:eastAsia="仿宋_GB2312" w:cs="Times New Roman"/>
          <w:bCs/>
          <w:color w:val="auto"/>
          <w:sz w:val="32"/>
          <w:szCs w:val="32"/>
          <w:lang w:eastAsia="zh-CN"/>
        </w:rPr>
        <w:t>于厦门市分局的辖内二级分行</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（二）具备真实的便利化业务需求，所推荐的优质企业符合本实施细则规定的条件。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（三）具备完善的便利化业务内控制度，包括但不限于职责分工、业务授权、优质企业客户准入退出、便利化业务实施规范、风险业务清单、统计监测、可疑交易预警与报告、应急管理、内部监督等方面。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（四）配备外汇业务合规专职岗位和熟悉外汇业务政策的从业人员。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外汇业务合规记录良好，近三年银行外汇业务合规与审慎经营评估原则上均在B（含）以上且至少两年为B+（含）以上。银行成立不满三年的，自成立以来外汇业务合规与审慎经营评估原则上均在B+（含）以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 xml:space="preserve">第五条 </w:t>
      </w:r>
      <w:r>
        <w:rPr>
          <w:rFonts w:hint="default" w:ascii="Times New Roman" w:hAnsi="Times New Roman" w:eastAsia="仿宋_GB2312" w:cs="Times New Roman"/>
          <w:bCs/>
          <w:sz w:val="32"/>
          <w:szCs w:val="32"/>
        </w:rPr>
        <w:t>审慎合规银行应基于客户自愿原则，通过充分的展业尽调确定本行优质企业名单。优质企业应具备以下条件：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（一）企业原则上在审慎合规银行持续办理经常项目外汇收支业务两年以上。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实施财务集中管理的集团型企业申请成为优质企业，应由一家在</w:t>
      </w:r>
      <w:r>
        <w:rPr>
          <w:rFonts w:hint="eastAsia" w:ascii="Times New Roman" w:hAnsi="Times New Roman" w:eastAsia="仿宋_GB2312" w:cs="Times New Roman"/>
          <w:bCs/>
          <w:sz w:val="32"/>
          <w:szCs w:val="32"/>
          <w:lang w:eastAsia="zh-CN"/>
        </w:rPr>
        <w:t>福建省分局辖内试点地区</w:t>
      </w:r>
      <w:r>
        <w:rPr>
          <w:rFonts w:hint="default" w:ascii="Times New Roman" w:hAnsi="Times New Roman" w:eastAsia="仿宋_GB2312" w:cs="Times New Roman"/>
          <w:bCs/>
          <w:sz w:val="32"/>
          <w:szCs w:val="32"/>
        </w:rPr>
        <w:t>注册的成员企业（以下简称主办企业）向审慎合规银行统一申请。主办企业原则上在审慎合规银行持续办理经常项目外汇收支业务两年以上；集团内其他成员企业</w:t>
      </w:r>
      <w:r>
        <w:rPr>
          <w:rFonts w:hint="default" w:eastAsia="仿宋_GB2312" w:cs="Times New Roman"/>
          <w:bCs/>
          <w:sz w:val="32"/>
          <w:szCs w:val="32"/>
        </w:rPr>
        <w:t>（含异地成员企业）</w:t>
      </w:r>
      <w:r>
        <w:rPr>
          <w:rFonts w:hint="default" w:ascii="Times New Roman" w:hAnsi="Times New Roman" w:eastAsia="仿宋_GB2312" w:cs="Times New Roman"/>
          <w:bCs/>
          <w:sz w:val="32"/>
          <w:szCs w:val="32"/>
        </w:rPr>
        <w:t>应纳入集团内部的财务集中管理</w:t>
      </w:r>
      <w:r>
        <w:rPr>
          <w:rFonts w:hint="eastAsia" w:ascii="Times New Roman" w:hAnsi="Times New Roman" w:eastAsia="仿宋_GB2312" w:cs="Times New Roman"/>
          <w:color w:val="auto"/>
          <w:sz w:val="32"/>
          <w:szCs w:val="32"/>
        </w:rPr>
        <w:t>但可不在</w:t>
      </w:r>
      <w:r>
        <w:rPr>
          <w:rFonts w:hint="default" w:eastAsia="仿宋_GB2312" w:cs="Times New Roman"/>
          <w:color w:val="auto"/>
          <w:sz w:val="32"/>
          <w:szCs w:val="32"/>
        </w:rPr>
        <w:t>审慎合规</w:t>
      </w:r>
      <w:r>
        <w:rPr>
          <w:rFonts w:hint="eastAsia" w:ascii="Times New Roman" w:hAnsi="Times New Roman" w:eastAsia="仿宋_GB2312" w:cs="Times New Roman"/>
          <w:color w:val="auto"/>
          <w:sz w:val="32"/>
          <w:szCs w:val="32"/>
        </w:rPr>
        <w:t>银行持续办理</w:t>
      </w:r>
      <w:r>
        <w:rPr>
          <w:rFonts w:hint="default" w:ascii="Times New Roman" w:hAnsi="Times New Roman" w:eastAsia="仿宋_GB2312" w:cs="Times New Roman"/>
          <w:color w:val="auto"/>
          <w:sz w:val="32"/>
          <w:szCs w:val="32"/>
        </w:rPr>
        <w:t>经常项目</w:t>
      </w:r>
      <w:r>
        <w:rPr>
          <w:rFonts w:hint="eastAsia" w:ascii="Times New Roman" w:hAnsi="Times New Roman" w:eastAsia="仿宋_GB2312" w:cs="Times New Roman"/>
          <w:color w:val="auto"/>
          <w:sz w:val="32"/>
          <w:szCs w:val="32"/>
        </w:rPr>
        <w:t>外汇收支业务两年以上</w:t>
      </w:r>
      <w:r>
        <w:rPr>
          <w:rFonts w:hint="eastAsia"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（二）企业诚实守信、合规经营情况</w:t>
      </w:r>
      <w:r>
        <w:rPr>
          <w:rFonts w:hint="default" w:eastAsia="仿宋_GB2312" w:cs="Times New Roman"/>
          <w:bCs/>
          <w:sz w:val="32"/>
          <w:szCs w:val="32"/>
        </w:rPr>
        <w:t>良</w:t>
      </w:r>
      <w:r>
        <w:rPr>
          <w:rFonts w:hint="default" w:ascii="Times New Roman" w:hAnsi="Times New Roman" w:eastAsia="仿宋_GB2312" w:cs="Times New Roman"/>
          <w:bCs/>
          <w:sz w:val="32"/>
          <w:szCs w:val="32"/>
        </w:rPr>
        <w:t>好</w:t>
      </w:r>
      <w:r>
        <w:rPr>
          <w:rFonts w:hint="default" w:eastAsia="仿宋_GB2312" w:cs="Times New Roman"/>
          <w:bCs/>
          <w:sz w:val="32"/>
          <w:szCs w:val="32"/>
        </w:rPr>
        <w:t>，</w:t>
      </w:r>
      <w:r>
        <w:rPr>
          <w:rFonts w:hint="default" w:ascii="Times New Roman" w:hAnsi="Times New Roman" w:eastAsia="仿宋_GB2312" w:cs="Times New Roman"/>
          <w:bCs/>
          <w:sz w:val="32"/>
          <w:szCs w:val="32"/>
        </w:rPr>
        <w:t>资金收付及贸易信贷、贸易融资符合其生产经营实际。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（三）近两年货物贸易外汇管理分类应持续为A类（如为货物贸易外汇收支名录内企业）且未被外汇局处罚。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（四）企业应配备专人对经常项目外汇收支业务进行监督评估，具备自证经常项目外汇收支及交易的真实性、逻辑性和合理性的能力，做到交易留痕。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（五）出于风险防范目的，审慎合规银行规定的其他条件。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第六条</w:t>
      </w:r>
      <w:r>
        <w:rPr>
          <w:rFonts w:hint="default" w:ascii="Times New Roman" w:hAnsi="Times New Roman" w:eastAsia="仿宋_GB2312" w:cs="Times New Roman"/>
          <w:bCs/>
          <w:sz w:val="32"/>
          <w:szCs w:val="32"/>
        </w:rPr>
        <w:t xml:space="preserve"> 符合条件的银行应在办理便利化业务前，向</w:t>
      </w:r>
      <w:r>
        <w:rPr>
          <w:rFonts w:hint="eastAsia" w:ascii="Times New Roman" w:hAnsi="Times New Roman" w:eastAsia="仿宋_GB2312" w:cs="Times New Roman"/>
          <w:bCs/>
          <w:sz w:val="32"/>
          <w:szCs w:val="32"/>
          <w:lang w:eastAsia="zh-CN"/>
        </w:rPr>
        <w:t>福建</w:t>
      </w:r>
      <w:r>
        <w:rPr>
          <w:rFonts w:hint="default" w:ascii="Times New Roman" w:hAnsi="Times New Roman" w:eastAsia="仿宋_GB2312" w:cs="Times New Roman"/>
          <w:bCs/>
          <w:sz w:val="32"/>
          <w:szCs w:val="32"/>
        </w:rPr>
        <w:t>省分局报备准备情况，包括但不限于自评情况、内控制度、优质企业名单等。</w:t>
      </w:r>
      <w:r>
        <w:rPr>
          <w:rFonts w:hint="default" w:ascii="Times New Roman" w:hAnsi="Times New Roman" w:eastAsia="仿宋_GB2312" w:cs="Times New Roman"/>
          <w:bCs/>
          <w:sz w:val="32"/>
          <w:szCs w:val="32"/>
          <w:highlight w:val="none"/>
        </w:rPr>
        <w:t>自收到完整备案材料之日起20个工作日内，对于符合条件的银行，以</w:t>
      </w:r>
      <w:r>
        <w:rPr>
          <w:rFonts w:hint="eastAsia" w:ascii="Times New Roman" w:hAnsi="Times New Roman" w:eastAsia="仿宋_GB2312" w:cs="Times New Roman"/>
          <w:bCs/>
          <w:sz w:val="32"/>
          <w:szCs w:val="32"/>
          <w:highlight w:val="none"/>
          <w:lang w:eastAsia="zh-CN"/>
        </w:rPr>
        <w:t>福建</w:t>
      </w:r>
      <w:r>
        <w:rPr>
          <w:rFonts w:hint="default" w:ascii="Times New Roman" w:hAnsi="Times New Roman" w:eastAsia="仿宋_GB2312" w:cs="Times New Roman"/>
          <w:bCs/>
          <w:sz w:val="32"/>
          <w:szCs w:val="32"/>
          <w:highlight w:val="none"/>
        </w:rPr>
        <w:t>省分局名义出具书面备案文件</w:t>
      </w:r>
      <w:r>
        <w:rPr>
          <w:rFonts w:hint="default" w:eastAsia="仿宋_GB2312" w:cs="Times New Roman"/>
          <w:bCs/>
          <w:sz w:val="32"/>
          <w:szCs w:val="32"/>
          <w:highlight w:val="none"/>
        </w:rPr>
        <w:t>。</w:t>
      </w:r>
      <w:r>
        <w:rPr>
          <w:rFonts w:hint="default" w:ascii="Times New Roman" w:hAnsi="Times New Roman" w:eastAsia="仿宋_GB2312" w:cs="Times New Roman"/>
          <w:bCs/>
          <w:sz w:val="32"/>
          <w:szCs w:val="32"/>
          <w:highlight w:val="none"/>
        </w:rPr>
        <w:t>银行</w:t>
      </w:r>
      <w:r>
        <w:rPr>
          <w:rFonts w:hint="default" w:eastAsia="仿宋_GB2312" w:cs="Times New Roman"/>
          <w:bCs/>
          <w:sz w:val="32"/>
          <w:szCs w:val="32"/>
          <w:highlight w:val="none"/>
        </w:rPr>
        <w:t>据此</w:t>
      </w:r>
      <w:r>
        <w:rPr>
          <w:rFonts w:hint="default" w:ascii="Times New Roman" w:hAnsi="Times New Roman" w:eastAsia="仿宋_GB2312" w:cs="Times New Roman"/>
          <w:bCs/>
          <w:sz w:val="32"/>
          <w:szCs w:val="32"/>
          <w:highlight w:val="none"/>
        </w:rPr>
        <w:t>开展便利化业务。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第七条</w:t>
      </w:r>
      <w:r>
        <w:rPr>
          <w:rFonts w:hint="default" w:ascii="Times New Roman" w:hAnsi="Times New Roman" w:eastAsia="仿宋_GB2312" w:cs="Times New Roman"/>
          <w:bCs/>
          <w:sz w:val="32"/>
          <w:szCs w:val="32"/>
        </w:rPr>
        <w:t xml:space="preserve"> 审慎合规银行变更</w:t>
      </w:r>
      <w:r>
        <w:rPr>
          <w:rFonts w:hint="default" w:eastAsia="仿宋_GB2312" w:cs="Times New Roman"/>
          <w:bCs/>
          <w:sz w:val="32"/>
          <w:szCs w:val="32"/>
        </w:rPr>
        <w:t>便利化业务范围的，应根据</w:t>
      </w:r>
      <w:r>
        <w:rPr>
          <w:rFonts w:hint="default" w:ascii="Times New Roman" w:hAnsi="Times New Roman" w:eastAsia="仿宋_GB2312" w:cs="Times New Roman"/>
          <w:bCs/>
          <w:sz w:val="32"/>
          <w:szCs w:val="32"/>
          <w:highlight w:val="none"/>
        </w:rPr>
        <w:t>本细则</w:t>
      </w:r>
      <w:r>
        <w:rPr>
          <w:rFonts w:hint="default" w:eastAsia="仿宋_GB2312" w:cs="Times New Roman"/>
          <w:bCs/>
          <w:sz w:val="32"/>
          <w:szCs w:val="32"/>
        </w:rPr>
        <w:t>第六条流程办理。审慎合规银行变更内控制度或</w:t>
      </w:r>
      <w:r>
        <w:rPr>
          <w:rFonts w:hint="default" w:ascii="Times New Roman" w:hAnsi="Times New Roman" w:eastAsia="仿宋_GB2312" w:cs="Times New Roman"/>
          <w:bCs/>
          <w:sz w:val="32"/>
          <w:szCs w:val="32"/>
        </w:rPr>
        <w:t>优质企业的，自变更之日起5个工作日内向</w:t>
      </w:r>
      <w:r>
        <w:rPr>
          <w:rFonts w:hint="eastAsia" w:ascii="Times New Roman" w:hAnsi="Times New Roman" w:eastAsia="仿宋_GB2312" w:cs="Times New Roman"/>
          <w:bCs/>
          <w:sz w:val="32"/>
          <w:szCs w:val="32"/>
          <w:lang w:eastAsia="zh-CN"/>
        </w:rPr>
        <w:t>福建</w:t>
      </w:r>
      <w:r>
        <w:rPr>
          <w:rFonts w:hint="default" w:ascii="Times New Roman" w:hAnsi="Times New Roman" w:eastAsia="仿宋_GB2312" w:cs="Times New Roman"/>
          <w:bCs/>
          <w:sz w:val="32"/>
          <w:szCs w:val="32"/>
        </w:rPr>
        <w:t>省分局报告。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第八条</w:t>
      </w:r>
      <w:r>
        <w:rPr>
          <w:rFonts w:hint="default" w:ascii="Times New Roman" w:hAnsi="Times New Roman" w:eastAsia="仿宋_GB2312" w:cs="Times New Roman"/>
          <w:bCs/>
          <w:sz w:val="32"/>
          <w:szCs w:val="32"/>
        </w:rPr>
        <w:t xml:space="preserve"> 审慎合规银行在尽职展业的基础上，</w:t>
      </w:r>
      <w:r>
        <w:rPr>
          <w:rFonts w:hint="default" w:eastAsia="仿宋_GB2312" w:cs="Times New Roman"/>
          <w:bCs/>
          <w:sz w:val="32"/>
          <w:szCs w:val="32"/>
        </w:rPr>
        <w:t>可</w:t>
      </w:r>
      <w:r>
        <w:rPr>
          <w:rFonts w:hint="default" w:ascii="Times New Roman" w:hAnsi="Times New Roman" w:eastAsia="仿宋_GB2312" w:cs="Times New Roman"/>
          <w:bCs/>
          <w:sz w:val="32"/>
          <w:szCs w:val="32"/>
        </w:rPr>
        <w:t>为本行优质企业</w:t>
      </w:r>
      <w:r>
        <w:rPr>
          <w:rFonts w:hint="default" w:eastAsia="仿宋_GB2312" w:cs="Times New Roman"/>
          <w:bCs/>
          <w:sz w:val="32"/>
          <w:szCs w:val="32"/>
        </w:rPr>
        <w:t>提供</w:t>
      </w:r>
      <w:r>
        <w:rPr>
          <w:rFonts w:hint="default" w:ascii="Times New Roman" w:hAnsi="Times New Roman" w:eastAsia="仿宋_GB2312" w:cs="Times New Roman"/>
          <w:bCs/>
          <w:sz w:val="32"/>
          <w:szCs w:val="32"/>
        </w:rPr>
        <w:t>以下便利化</w:t>
      </w:r>
      <w:r>
        <w:rPr>
          <w:rFonts w:hint="default" w:eastAsia="仿宋_GB2312" w:cs="Times New Roman"/>
          <w:bCs/>
          <w:sz w:val="32"/>
          <w:szCs w:val="32"/>
        </w:rPr>
        <w:t>业务</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便利经常项目外汇资金收付。审慎合规银行可按照“了解客户”“了解业务”“尽职审查”原则为优质企业办理经常项目外汇收支业务。对于单笔等值5万美元以上的服务贸易等项目外汇支出，可事后核验《服务贸易等项目对外支付税务备案表》。对于资金性质不明确的业务，</w:t>
      </w:r>
      <w:r>
        <w:rPr>
          <w:rFonts w:hint="default" w:eastAsia="仿宋_GB2312" w:cs="Times New Roman"/>
          <w:bCs/>
          <w:sz w:val="32"/>
          <w:szCs w:val="32"/>
        </w:rPr>
        <w:t>审慎合规</w:t>
      </w:r>
      <w:r>
        <w:rPr>
          <w:rFonts w:hint="default" w:ascii="Times New Roman" w:hAnsi="Times New Roman" w:eastAsia="仿宋_GB2312" w:cs="Times New Roman"/>
          <w:bCs/>
          <w:sz w:val="32"/>
          <w:szCs w:val="32"/>
        </w:rPr>
        <w:t>银行应要求企业提供相关单证。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rPr>
        <w:t>（二）优化新型国际贸易结算。审慎合规银行可依据区域战略定位和行业特色，创新金融服务，</w:t>
      </w:r>
      <w:r>
        <w:rPr>
          <w:rFonts w:hint="default" w:ascii="Times New Roman" w:hAnsi="Times New Roman" w:eastAsia="仿宋_GB2312" w:cs="Times New Roman"/>
          <w:bCs/>
          <w:sz w:val="32"/>
          <w:szCs w:val="32"/>
          <w:highlight w:val="none"/>
        </w:rPr>
        <w:t>自主办理优质企业真实合规的新型国际贸易外汇收支。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rPr>
        <w:t>（三）扩大贸易收支轧差净额结算范围。优质企业与同一境外交易对手开展经常项目外汇业务时，审慎合规银行</w:t>
      </w:r>
      <w:r>
        <w:rPr>
          <w:rFonts w:hint="default" w:eastAsia="仿宋_GB2312" w:cs="Times New Roman"/>
          <w:bCs/>
          <w:sz w:val="32"/>
          <w:szCs w:val="32"/>
        </w:rPr>
        <w:t>在风险可控的情形下</w:t>
      </w:r>
      <w:r>
        <w:rPr>
          <w:rFonts w:hint="default" w:ascii="Times New Roman" w:hAnsi="Times New Roman" w:eastAsia="仿宋_GB2312" w:cs="Times New Roman"/>
          <w:bCs/>
          <w:sz w:val="32"/>
          <w:szCs w:val="32"/>
        </w:rPr>
        <w:t>为优质企业办理以下情形的轧差净额结算，并按国际收支申报有关规定进行实际收付数据和还原数据申报。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1.境内外关联企业之间的一般贸易收支轧差净额结算；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2.货款与速遣费、滞期费的收支轧差净额结算；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3.销售货款与相关销售返利之间的收支轧差净额结算；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4.运费收支的轧差净额结算；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5.外汇局规定的其他情形。</w:t>
      </w:r>
    </w:p>
    <w:p>
      <w:pPr>
        <w:spacing w:line="240" w:lineRule="auto"/>
        <w:ind w:firstLine="640" w:firstLineChars="200"/>
        <w:rPr>
          <w:rFonts w:hint="default" w:eastAsia="仿宋_GB2312"/>
          <w:bCs/>
          <w:sz w:val="32"/>
          <w:szCs w:val="32"/>
          <w:highlight w:val="none"/>
        </w:rPr>
      </w:pPr>
      <w:r>
        <w:rPr>
          <w:rFonts w:hint="default" w:eastAsia="仿宋_GB2312" w:cs="Times New Roman"/>
          <w:bCs/>
          <w:sz w:val="32"/>
          <w:szCs w:val="32"/>
          <w:highlight w:val="none"/>
        </w:rPr>
        <w:t>开展</w:t>
      </w:r>
      <w:r>
        <w:rPr>
          <w:rFonts w:hint="default" w:ascii="Times New Roman" w:hAnsi="Times New Roman" w:eastAsia="仿宋_GB2312" w:cs="Times New Roman"/>
          <w:bCs/>
          <w:sz w:val="32"/>
          <w:szCs w:val="32"/>
          <w:highlight w:val="none"/>
        </w:rPr>
        <w:t>轧差净额结算的企业应合理安排轧差周期，及时结清应收应付款项，原则上每个季度轧差金额结算不少于1次。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（四）货物贸易超期限等特殊退汇业务免于事前登记。审慎合规银行可直接为优质企业办理退汇日期与原收、付款日期间隔在180天（不含）以上或由于特殊情况无法原路退回的货物贸易退汇业务，企业无须</w:t>
      </w:r>
      <w:r>
        <w:rPr>
          <w:rFonts w:hint="default" w:eastAsia="仿宋_GB2312" w:cs="Times New Roman"/>
          <w:bCs/>
          <w:sz w:val="32"/>
          <w:szCs w:val="32"/>
        </w:rPr>
        <w:t>就上述业务到</w:t>
      </w:r>
      <w:r>
        <w:rPr>
          <w:rFonts w:hint="default" w:ascii="Times New Roman" w:hAnsi="Times New Roman" w:eastAsia="仿宋_GB2312" w:cs="Times New Roman"/>
          <w:bCs/>
          <w:sz w:val="32"/>
          <w:szCs w:val="32"/>
        </w:rPr>
        <w:t>外汇局</w:t>
      </w:r>
      <w:r>
        <w:rPr>
          <w:rFonts w:hint="default" w:eastAsia="仿宋_GB2312" w:cs="Times New Roman"/>
          <w:bCs/>
          <w:sz w:val="32"/>
          <w:szCs w:val="32"/>
        </w:rPr>
        <w:t>办理事前</w:t>
      </w:r>
      <w:r>
        <w:rPr>
          <w:rFonts w:hint="default" w:ascii="Times New Roman" w:hAnsi="Times New Roman" w:eastAsia="仿宋_GB2312" w:cs="Times New Roman"/>
          <w:bCs/>
          <w:sz w:val="32"/>
          <w:szCs w:val="32"/>
        </w:rPr>
        <w:t>登记。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（五）优化服务贸易项下代垫或分摊业务管理。优质企业</w:t>
      </w:r>
      <w:r>
        <w:rPr>
          <w:rFonts w:hint="default" w:eastAsia="仿宋_GB2312" w:cs="Times New Roman"/>
          <w:bCs/>
          <w:sz w:val="32"/>
          <w:szCs w:val="32"/>
          <w:highlight w:val="none"/>
        </w:rPr>
        <w:t>与其</w:t>
      </w:r>
      <w:r>
        <w:rPr>
          <w:rFonts w:hint="default" w:ascii="Times New Roman" w:hAnsi="Times New Roman" w:eastAsia="仿宋_GB2312" w:cs="Times New Roman"/>
          <w:bCs/>
          <w:sz w:val="32"/>
          <w:szCs w:val="32"/>
          <w:highlight w:val="none"/>
        </w:rPr>
        <w:t>具有关联关系的境外机构间发生的超12个月的</w:t>
      </w:r>
      <w:r>
        <w:rPr>
          <w:rFonts w:hint="default" w:eastAsia="仿宋_GB2312" w:cs="Times New Roman"/>
          <w:bCs/>
          <w:sz w:val="32"/>
          <w:szCs w:val="32"/>
          <w:highlight w:val="none"/>
        </w:rPr>
        <w:t>服务贸易项下</w:t>
      </w:r>
      <w:r>
        <w:rPr>
          <w:rFonts w:hint="default" w:ascii="Times New Roman" w:hAnsi="Times New Roman" w:eastAsia="仿宋_GB2312" w:cs="Times New Roman"/>
          <w:bCs/>
          <w:sz w:val="32"/>
          <w:szCs w:val="32"/>
          <w:highlight w:val="none"/>
        </w:rPr>
        <w:t>代垫或分摊</w:t>
      </w:r>
      <w:r>
        <w:rPr>
          <w:rFonts w:hint="default" w:eastAsia="仿宋_GB2312" w:cs="Times New Roman"/>
          <w:bCs/>
          <w:sz w:val="32"/>
          <w:szCs w:val="32"/>
          <w:highlight w:val="none"/>
        </w:rPr>
        <w:t>业务</w:t>
      </w:r>
      <w:r>
        <w:rPr>
          <w:rFonts w:hint="default" w:ascii="Times New Roman" w:hAnsi="Times New Roman" w:eastAsia="仿宋_GB2312" w:cs="Times New Roman"/>
          <w:bCs/>
          <w:sz w:val="32"/>
          <w:szCs w:val="32"/>
          <w:highlight w:val="none"/>
        </w:rPr>
        <w:t>，以及</w:t>
      </w:r>
      <w:r>
        <w:rPr>
          <w:rFonts w:hint="default" w:eastAsia="仿宋_GB2312" w:cs="Times New Roman"/>
          <w:bCs/>
          <w:sz w:val="32"/>
          <w:szCs w:val="32"/>
          <w:highlight w:val="none"/>
        </w:rPr>
        <w:t>与</w:t>
      </w:r>
      <w:r>
        <w:rPr>
          <w:rFonts w:hint="default" w:ascii="Times New Roman" w:hAnsi="Times New Roman" w:eastAsia="仿宋_GB2312" w:cs="Times New Roman"/>
          <w:bCs/>
          <w:sz w:val="32"/>
          <w:szCs w:val="32"/>
          <w:highlight w:val="none"/>
        </w:rPr>
        <w:t>非关联关系的境外机构间发生的</w:t>
      </w:r>
      <w:r>
        <w:rPr>
          <w:rFonts w:hint="default" w:eastAsia="仿宋_GB2312" w:cs="Times New Roman"/>
          <w:bCs/>
          <w:sz w:val="32"/>
          <w:szCs w:val="32"/>
          <w:highlight w:val="none"/>
        </w:rPr>
        <w:t>服务贸易项下</w:t>
      </w:r>
      <w:r>
        <w:rPr>
          <w:rFonts w:hint="default" w:ascii="Times New Roman" w:hAnsi="Times New Roman" w:eastAsia="仿宋_GB2312" w:cs="Times New Roman"/>
          <w:bCs/>
          <w:sz w:val="32"/>
          <w:szCs w:val="32"/>
          <w:highlight w:val="none"/>
        </w:rPr>
        <w:t>代垫或分摊业务，由审慎合规银行审核真实性、合理性后办理。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第</w:t>
      </w:r>
      <w:r>
        <w:rPr>
          <w:rFonts w:hint="default" w:eastAsia="仿宋_GB2312" w:cs="Times New Roman"/>
          <w:b/>
          <w:sz w:val="32"/>
          <w:szCs w:val="32"/>
          <w:highlight w:val="none"/>
        </w:rPr>
        <w:t>九</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bCs/>
          <w:sz w:val="32"/>
          <w:szCs w:val="32"/>
          <w:highlight w:val="none"/>
        </w:rPr>
        <w:t xml:space="preserve"> 审慎合规银行办理上述便利化业务，应完善</w:t>
      </w:r>
      <w:r>
        <w:rPr>
          <w:rFonts w:hint="default" w:eastAsia="仿宋_GB2312" w:cs="Times New Roman"/>
          <w:bCs/>
          <w:sz w:val="32"/>
          <w:szCs w:val="32"/>
          <w:highlight w:val="none"/>
        </w:rPr>
        <w:t>尽职调查</w:t>
      </w:r>
      <w:r>
        <w:rPr>
          <w:rFonts w:hint="default" w:ascii="Times New Roman" w:hAnsi="Times New Roman" w:eastAsia="仿宋_GB2312" w:cs="Times New Roman"/>
          <w:bCs/>
          <w:sz w:val="32"/>
          <w:szCs w:val="32"/>
          <w:highlight w:val="none"/>
        </w:rPr>
        <w:t>，优化全流程管理：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（一）了解优质企业主体信息、经营状况、内控管理等，分析判断优质企业的信用合规等情况，并对优质企业进行专门管理。审慎合规银行每年应</w:t>
      </w:r>
      <w:r>
        <w:rPr>
          <w:rFonts w:hint="default" w:eastAsia="仿宋_GB2312" w:cs="Times New Roman"/>
          <w:bCs/>
          <w:sz w:val="32"/>
          <w:szCs w:val="32"/>
          <w:highlight w:val="none"/>
        </w:rPr>
        <w:t>对本行优质企业</w:t>
      </w:r>
      <w:r>
        <w:rPr>
          <w:rFonts w:hint="default" w:ascii="Times New Roman" w:hAnsi="Times New Roman" w:eastAsia="仿宋_GB2312" w:cs="Times New Roman"/>
          <w:bCs/>
          <w:sz w:val="32"/>
          <w:szCs w:val="32"/>
          <w:highlight w:val="none"/>
        </w:rPr>
        <w:t>至少</w:t>
      </w:r>
      <w:r>
        <w:rPr>
          <w:rFonts w:hint="default" w:eastAsia="仿宋_GB2312" w:cs="Times New Roman"/>
          <w:bCs/>
          <w:sz w:val="32"/>
          <w:szCs w:val="32"/>
          <w:highlight w:val="none"/>
        </w:rPr>
        <w:t>开展一次</w:t>
      </w:r>
      <w:r>
        <w:rPr>
          <w:rFonts w:hint="default" w:ascii="Times New Roman" w:hAnsi="Times New Roman" w:eastAsia="仿宋_GB2312" w:cs="Times New Roman"/>
          <w:bCs/>
          <w:sz w:val="32"/>
          <w:szCs w:val="32"/>
          <w:highlight w:val="none"/>
        </w:rPr>
        <w:t>实地走访，并留存相关材料备查。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（二）跟踪市场环境变化，了解不同业务特征和流程，结合优质企业信用状况，持续优化审核方式。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（三）对优质企业经常项目收支持续跟踪评估，动态调整企业分类；对便利化业务实施专门的监测预警，及时发现、报告和处置异常情况。</w:t>
      </w:r>
    </w:p>
    <w:p>
      <w:pPr>
        <w:spacing w:line="240" w:lineRule="auto"/>
        <w:ind w:firstLine="643" w:firstLineChars="200"/>
        <w:rPr>
          <w:rFonts w:hint="default"/>
        </w:rPr>
      </w:pPr>
      <w:r>
        <w:rPr>
          <w:rFonts w:hint="default" w:ascii="Times New Roman" w:hAnsi="Times New Roman" w:eastAsia="仿宋_GB2312" w:cs="Times New Roman"/>
          <w:b/>
          <w:sz w:val="32"/>
          <w:szCs w:val="32"/>
          <w:highlight w:val="none"/>
        </w:rPr>
        <w:t>第</w:t>
      </w:r>
      <w:r>
        <w:rPr>
          <w:rFonts w:hint="default" w:eastAsia="仿宋_GB2312" w:cs="Times New Roman"/>
          <w:b/>
          <w:sz w:val="32"/>
          <w:szCs w:val="32"/>
          <w:highlight w:val="none"/>
        </w:rPr>
        <w:t>十</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bCs/>
          <w:sz w:val="32"/>
          <w:szCs w:val="32"/>
          <w:highlight w:val="none"/>
        </w:rPr>
        <w:t xml:space="preserve"> 审慎合规银行在办理便利化业务涉外收付款和境内收付款申报时，交易附言中应注明“高水平便利试点”字样。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第十一条</w:t>
      </w:r>
      <w:r>
        <w:rPr>
          <w:rFonts w:hint="default" w:ascii="Times New Roman" w:hAnsi="Times New Roman" w:eastAsia="仿宋_GB2312" w:cs="Times New Roman"/>
          <w:bCs/>
          <w:sz w:val="32"/>
          <w:szCs w:val="32"/>
          <w:highlight w:val="none"/>
        </w:rPr>
        <w:t xml:space="preserve"> 出现以下情形之一的，审慎合规银行应暂停便利化业务：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（一）</w:t>
      </w:r>
      <w:r>
        <w:rPr>
          <w:rFonts w:hint="default" w:eastAsia="仿宋_GB2312"/>
          <w:bCs/>
          <w:sz w:val="32"/>
          <w:szCs w:val="32"/>
          <w:highlight w:val="none"/>
        </w:rPr>
        <w:t>审慎合规银行外汇业务合规与审慎经营评估为B-及以下</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（二）</w:t>
      </w:r>
      <w:r>
        <w:rPr>
          <w:rFonts w:hint="default" w:eastAsia="仿宋_GB2312" w:cs="Times New Roman"/>
          <w:bCs/>
          <w:sz w:val="32"/>
          <w:szCs w:val="32"/>
          <w:highlight w:val="none"/>
        </w:rPr>
        <w:t>近三年</w:t>
      </w:r>
      <w:r>
        <w:rPr>
          <w:rFonts w:hint="default" w:eastAsia="仿宋_GB2312"/>
          <w:bCs/>
          <w:sz w:val="32"/>
          <w:szCs w:val="32"/>
          <w:highlight w:val="none"/>
        </w:rPr>
        <w:t>审慎合规银行外汇业务合规与审慎经营评估均</w:t>
      </w:r>
      <w:r>
        <w:rPr>
          <w:rFonts w:hint="default" w:eastAsia="仿宋_GB2312" w:cs="Times New Roman"/>
          <w:bCs/>
          <w:sz w:val="32"/>
          <w:szCs w:val="32"/>
          <w:highlight w:val="none"/>
        </w:rPr>
        <w:t>为</w:t>
      </w:r>
      <w:r>
        <w:rPr>
          <w:rFonts w:hint="default" w:ascii="Times New Roman" w:hAnsi="Times New Roman" w:eastAsia="仿宋_GB2312" w:cs="Times New Roman"/>
          <w:bCs/>
          <w:sz w:val="32"/>
          <w:szCs w:val="32"/>
        </w:rPr>
        <w:t>B</w:t>
      </w:r>
      <w:r>
        <w:rPr>
          <w:rFonts w:hint="default"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eastAsia="仿宋_GB2312" w:cs="Times New Roman"/>
          <w:bCs/>
          <w:sz w:val="32"/>
          <w:szCs w:val="32"/>
          <w:highlight w:val="none"/>
        </w:rPr>
        <w:t>三</w:t>
      </w:r>
      <w:r>
        <w:rPr>
          <w:rFonts w:hint="default" w:ascii="Times New Roman" w:hAnsi="Times New Roman" w:eastAsia="仿宋_GB2312" w:cs="Times New Roman"/>
          <w:bCs/>
          <w:sz w:val="32"/>
          <w:szCs w:val="32"/>
          <w:highlight w:val="none"/>
        </w:rPr>
        <w:t>）审慎合规银行未尽职审核，主动开展或协助企业开展监管套利、空转套利、虚假交易、构造贸易等异常交易，或为企业开展上述异常交易转移资金或骗取融资提供便利的；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eastAsia="仿宋_GB2312" w:cs="Times New Roman"/>
          <w:bCs/>
          <w:sz w:val="32"/>
          <w:szCs w:val="32"/>
          <w:highlight w:val="none"/>
        </w:rPr>
        <w:t>四</w:t>
      </w:r>
      <w:r>
        <w:rPr>
          <w:rFonts w:hint="default" w:ascii="Times New Roman" w:hAnsi="Times New Roman" w:eastAsia="仿宋_GB2312" w:cs="Times New Roman"/>
          <w:bCs/>
          <w:sz w:val="32"/>
          <w:szCs w:val="32"/>
          <w:highlight w:val="none"/>
        </w:rPr>
        <w:t>）审慎合规银行的经营行为对</w:t>
      </w:r>
      <w:r>
        <w:rPr>
          <w:rFonts w:hint="eastAsia" w:ascii="Times New Roman" w:hAnsi="Times New Roman" w:eastAsia="仿宋_GB2312" w:cs="Times New Roman"/>
          <w:bCs/>
          <w:sz w:val="32"/>
          <w:szCs w:val="32"/>
          <w:highlight w:val="none"/>
          <w:lang w:eastAsia="zh-CN"/>
        </w:rPr>
        <w:t>福建</w:t>
      </w:r>
      <w:r>
        <w:rPr>
          <w:rFonts w:hint="default" w:ascii="Times New Roman" w:hAnsi="Times New Roman" w:eastAsia="仿宋_GB2312" w:cs="Times New Roman"/>
          <w:bCs/>
          <w:sz w:val="32"/>
          <w:szCs w:val="32"/>
          <w:highlight w:val="none"/>
        </w:rPr>
        <w:t>省跨境资金流动、金融稳定造成负面影响；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eastAsia="仿宋_GB2312" w:cs="Times New Roman"/>
          <w:bCs/>
          <w:sz w:val="32"/>
          <w:szCs w:val="32"/>
          <w:highlight w:val="none"/>
        </w:rPr>
        <w:t>五</w:t>
      </w:r>
      <w:r>
        <w:rPr>
          <w:rFonts w:hint="default" w:ascii="Times New Roman" w:hAnsi="Times New Roman" w:eastAsia="仿宋_GB2312" w:cs="Times New Roman"/>
          <w:bCs/>
          <w:sz w:val="32"/>
          <w:szCs w:val="32"/>
          <w:highlight w:val="none"/>
        </w:rPr>
        <w:t>）审慎合规银行不配合外汇局监督管理工作。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审慎合规银行暂停便利化业务的，应立即进行整改，整改完成并向</w:t>
      </w:r>
      <w:r>
        <w:rPr>
          <w:rFonts w:hint="eastAsia" w:eastAsia="仿宋_GB2312" w:cs="Times New Roman"/>
          <w:bCs/>
          <w:sz w:val="32"/>
          <w:szCs w:val="32"/>
          <w:highlight w:val="none"/>
          <w:lang w:eastAsia="zh-CN"/>
        </w:rPr>
        <w:t>福建</w:t>
      </w:r>
      <w:r>
        <w:rPr>
          <w:rFonts w:hint="default" w:ascii="Times New Roman" w:hAnsi="Times New Roman" w:eastAsia="仿宋_GB2312" w:cs="Times New Roman"/>
          <w:bCs/>
          <w:sz w:val="32"/>
          <w:szCs w:val="32"/>
          <w:highlight w:val="none"/>
        </w:rPr>
        <w:t>省分局报备后，方可继续开展便利化业务。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第十二条</w:t>
      </w:r>
      <w:r>
        <w:rPr>
          <w:rFonts w:hint="default" w:ascii="Times New Roman" w:hAnsi="Times New Roman" w:eastAsia="仿宋_GB2312" w:cs="Times New Roman"/>
          <w:bCs/>
          <w:sz w:val="32"/>
          <w:szCs w:val="32"/>
          <w:highlight w:val="none"/>
        </w:rPr>
        <w:t xml:space="preserve"> 优质企业出现以下情形之一的，审慎合规银行自发现之日起5个工作日内取消其优质企业资格：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（一）</w:t>
      </w:r>
      <w:r>
        <w:rPr>
          <w:rFonts w:ascii="Times New Roman" w:hAnsi="Times New Roman" w:eastAsia="仿宋_GB2312" w:cs="Times New Roman"/>
          <w:color w:val="auto"/>
          <w:sz w:val="32"/>
          <w:szCs w:val="32"/>
        </w:rPr>
        <w:t>企业被外汇局降为B/C类</w:t>
      </w:r>
      <w:r>
        <w:rPr>
          <w:rFonts w:eastAsia="仿宋_GB2312" w:cs="Times New Roman"/>
          <w:color w:val="auto"/>
          <w:sz w:val="32"/>
          <w:szCs w:val="32"/>
        </w:rPr>
        <w:t>，</w:t>
      </w:r>
      <w:r>
        <w:rPr>
          <w:rFonts w:ascii="Times New Roman" w:hAnsi="Times New Roman" w:eastAsia="仿宋_GB2312" w:cs="Times New Roman"/>
          <w:color w:val="auto"/>
          <w:sz w:val="32"/>
          <w:szCs w:val="32"/>
        </w:rPr>
        <w:t>或</w:t>
      </w:r>
      <w:r>
        <w:rPr>
          <w:rFonts w:eastAsia="仿宋_GB2312" w:cs="Times New Roman"/>
          <w:color w:val="auto"/>
          <w:sz w:val="32"/>
          <w:szCs w:val="32"/>
        </w:rPr>
        <w:t>受到外汇局</w:t>
      </w:r>
      <w:r>
        <w:rPr>
          <w:rFonts w:ascii="Times New Roman" w:hAnsi="Times New Roman" w:eastAsia="仿宋_GB2312" w:cs="Times New Roman"/>
          <w:color w:val="auto"/>
          <w:sz w:val="32"/>
          <w:szCs w:val="32"/>
        </w:rPr>
        <w:t>处罚</w:t>
      </w:r>
      <w:r>
        <w:rPr>
          <w:rFonts w:eastAsia="仿宋_GB2312" w:cs="Times New Roman"/>
          <w:color w:val="auto"/>
          <w:sz w:val="32"/>
          <w:szCs w:val="32"/>
        </w:rPr>
        <w:t>且涉及一般情节、较重情节和严重情节</w:t>
      </w:r>
      <w:r>
        <w:rPr>
          <w:rFonts w:ascii="Times New Roman" w:hAnsi="Times New Roman" w:eastAsia="仿宋_GB2312" w:cs="Times New Roman"/>
          <w:color w:val="auto"/>
          <w:sz w:val="32"/>
          <w:szCs w:val="32"/>
        </w:rPr>
        <w:t>的</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（二）企业存在涉嫌构造贸易、虚假贸易、提供虚假单证等异常情况；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（三）企业不配合外汇局、审慎合规银行监督管理；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highlight w:val="none"/>
        </w:rPr>
        <w:t>（四）审慎合规银行规定的其他条件。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第十三条</w:t>
      </w:r>
      <w:r>
        <w:rPr>
          <w:rFonts w:hint="default" w:ascii="Times New Roman" w:hAnsi="Times New Roman" w:eastAsia="仿宋_GB2312" w:cs="Times New Roman"/>
          <w:bCs/>
          <w:sz w:val="32"/>
          <w:szCs w:val="32"/>
        </w:rPr>
        <w:t xml:space="preserve"> 审慎合规银行、优质企业应按现行外汇管理规定，及时、准确、完整地向</w:t>
      </w:r>
      <w:r>
        <w:rPr>
          <w:rFonts w:hint="eastAsia" w:ascii="Times New Roman" w:hAnsi="Times New Roman" w:eastAsia="仿宋_GB2312" w:cs="Times New Roman"/>
          <w:bCs/>
          <w:sz w:val="32"/>
          <w:szCs w:val="32"/>
          <w:lang w:eastAsia="zh-CN"/>
        </w:rPr>
        <w:t>福建</w:t>
      </w:r>
      <w:r>
        <w:rPr>
          <w:rFonts w:hint="default" w:ascii="Times New Roman" w:hAnsi="Times New Roman" w:eastAsia="仿宋_GB2312" w:cs="Times New Roman"/>
          <w:bCs/>
          <w:sz w:val="32"/>
          <w:szCs w:val="32"/>
        </w:rPr>
        <w:t>省分局报送相关信息；主动报告异常或可疑情况，配合监督检查和核查。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sz w:val="32"/>
          <w:szCs w:val="32"/>
          <w:highlight w:val="none"/>
        </w:rPr>
        <w:t>第十四条</w:t>
      </w:r>
      <w:r>
        <w:rPr>
          <w:rFonts w:hint="default" w:ascii="Times New Roman" w:hAnsi="Times New Roman" w:eastAsia="仿宋_GB2312" w:cs="Times New Roman"/>
          <w:bCs/>
          <w:sz w:val="32"/>
          <w:szCs w:val="32"/>
          <w:highlight w:val="none"/>
        </w:rPr>
        <w:t xml:space="preserve"> </w:t>
      </w:r>
      <w:r>
        <w:rPr>
          <w:rFonts w:hint="default" w:ascii="Times New Roman" w:hAnsi="Times New Roman" w:eastAsia="仿宋_GB2312" w:cs="Times New Roman"/>
          <w:b w:val="0"/>
          <w:bCs w:val="0"/>
          <w:sz w:val="32"/>
          <w:szCs w:val="32"/>
          <w:highlight w:val="none"/>
          <w:lang w:eastAsia="zh-CN"/>
        </w:rPr>
        <w:t>审慎合规银行为优质企业办理</w:t>
      </w:r>
      <w:r>
        <w:rPr>
          <w:rFonts w:hint="default" w:ascii="Times New Roman" w:hAnsi="Times New Roman" w:eastAsia="仿宋_GB2312" w:cs="Times New Roman"/>
          <w:bCs/>
          <w:sz w:val="32"/>
          <w:szCs w:val="32"/>
        </w:rPr>
        <w:t>贸易收支轧差净额结算</w:t>
      </w:r>
      <w:r>
        <w:rPr>
          <w:rFonts w:hint="default" w:ascii="Times New Roman" w:hAnsi="Times New Roman" w:eastAsia="仿宋_GB2312" w:cs="Times New Roman"/>
          <w:b w:val="0"/>
          <w:bCs w:val="0"/>
          <w:sz w:val="32"/>
          <w:szCs w:val="32"/>
          <w:highlight w:val="none"/>
          <w:lang w:eastAsia="zh-CN"/>
        </w:rPr>
        <w:t>，应按如下要求办理实际收付数据和还原数据申报：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对实际收付款数据的申报，实际收付款数据不为零时，企业应通过办理实际对外收付款交易的银行进行申报，银行应将实际收付款信息交易编码申报在“999999-有实际资金收付的集中或轧差结算”项下。实际收付款数据为零时（轧差净额结算合计值为零），银行应虚拟一笔结算值为零的涉外付款，填写《境外汇款申请书》，收付款人名称均为该企业，交易编码申报在“999998-无实际资金收付的轧差结算”项下，“收款人常驻国家（地区）”为“中国”，其他必输项可视情况填报或填写“N/A”。银行应在实际对外收付款之日（轧差净额结算合计值为零时，为轧差结算日或会计结算日）（T）后的第1个工作日（T+1）中午12:00前,完成实际收付款数据的报送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val="0"/>
          <w:bCs w:val="0"/>
          <w:sz w:val="32"/>
          <w:szCs w:val="32"/>
          <w:highlight w:val="none"/>
          <w:lang w:eastAsia="zh-CN"/>
        </w:rPr>
        <w:t>对还原数据的申报，企业在申报实际收付数据的当日，根据全收全支原则，向实际办理或记账处理对外收付款业务的银行提供还原数据的基础信息和申报信息。银行应在实际收付款之日（T）后的第1个工作日（T+1）中午12:00前，完成还原数据基础信息的报送工作；第5个工作日（T+5）前，完成还原数据申报信息的报送工作。申报单号码由发生实际收付款的银行编制，交易编码和交易附言按照实际交易性质填报。银行应将还原数据的“银行业务编号”填写为所对应的实际收付款数据的申报号码。银行应为企业提供申报渠道等基础条件，并负责将还原数据的基础信息和申报信息传送到外汇局。</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第十五条</w:t>
      </w:r>
      <w:r>
        <w:rPr>
          <w:rFonts w:hint="default" w:ascii="Times New Roman" w:hAnsi="Times New Roman" w:eastAsia="仿宋_GB2312" w:cs="Times New Roman"/>
          <w:bCs/>
          <w:sz w:val="32"/>
          <w:szCs w:val="32"/>
          <w:highlight w:val="none"/>
        </w:rPr>
        <w:t xml:space="preserve"> 注册在</w:t>
      </w:r>
      <w:r>
        <w:rPr>
          <w:rFonts w:hint="eastAsia" w:ascii="Times New Roman" w:hAnsi="Times New Roman" w:eastAsia="仿宋_GB2312" w:cs="Times New Roman"/>
          <w:bCs/>
          <w:sz w:val="32"/>
          <w:szCs w:val="32"/>
          <w:highlight w:val="none"/>
          <w:lang w:eastAsia="zh-CN"/>
        </w:rPr>
        <w:t>福建省分局辖内试点地区</w:t>
      </w:r>
      <w:r>
        <w:rPr>
          <w:rFonts w:hint="default" w:ascii="Times New Roman" w:hAnsi="Times New Roman" w:eastAsia="仿宋_GB2312" w:cs="Times New Roman"/>
          <w:bCs/>
          <w:sz w:val="32"/>
          <w:szCs w:val="32"/>
          <w:highlight w:val="none"/>
        </w:rPr>
        <w:t>的国家机关、事业单位、社会团体等适用本细则。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sz w:val="32"/>
          <w:szCs w:val="32"/>
        </w:rPr>
        <w:t>第十六条</w:t>
      </w:r>
      <w:r>
        <w:rPr>
          <w:rFonts w:hint="default" w:ascii="Times New Roman" w:hAnsi="Times New Roman" w:eastAsia="仿宋_GB2312" w:cs="Times New Roman"/>
          <w:bCs/>
          <w:sz w:val="32"/>
          <w:szCs w:val="32"/>
        </w:rPr>
        <w:t xml:space="preserve"> 本实</w:t>
      </w:r>
      <w:r>
        <w:rPr>
          <w:rFonts w:hint="default" w:ascii="Times New Roman" w:hAnsi="Times New Roman" w:eastAsia="仿宋_GB2312" w:cs="Times New Roman"/>
          <w:b w:val="0"/>
          <w:bCs w:val="0"/>
          <w:sz w:val="32"/>
          <w:szCs w:val="32"/>
          <w:highlight w:val="none"/>
          <w:lang w:eastAsia="zh-CN"/>
        </w:rPr>
        <w:t>施细则所指的“经常项目外汇收支”，包括经常项目的货物贸易、服务贸易、初次收入（跨境直接投资的利润、股息和红利除外）和二次收入。本实施细则所指的“新型国际贸易”包括但不限于跨境电商、保税维修、新型离岸国际贸易等货物贸易和服务贸易。</w:t>
      </w:r>
    </w:p>
    <w:p>
      <w:pPr>
        <w:keepNext w:val="0"/>
        <w:keepLines w:val="0"/>
        <w:pageBreakBefore w:val="0"/>
        <w:widowControl w:val="0"/>
        <w:kinsoku/>
        <w:wordWrap/>
        <w:overflowPunct/>
        <w:topLinePunct w:val="0"/>
        <w:autoSpaceDE/>
        <w:autoSpaceDN/>
        <w:bidi w:val="0"/>
        <w:spacing w:line="240" w:lineRule="auto"/>
        <w:ind w:firstLine="643" w:firstLineChars="200"/>
        <w:textAlignment w:val="auto"/>
      </w:pPr>
      <w:r>
        <w:rPr>
          <w:rFonts w:hint="default" w:ascii="Times New Roman" w:hAnsi="Times New Roman" w:eastAsia="仿宋_GB2312" w:cs="Times New Roman"/>
          <w:b/>
          <w:sz w:val="32"/>
          <w:szCs w:val="32"/>
          <w:lang w:eastAsia="zh-CN"/>
        </w:rPr>
        <w:t xml:space="preserve">第十七条 </w:t>
      </w:r>
      <w:r>
        <w:rPr>
          <w:rFonts w:hint="default" w:ascii="Times New Roman" w:hAnsi="Times New Roman" w:eastAsia="仿宋_GB2312" w:cs="Times New Roman"/>
          <w:b w:val="0"/>
          <w:bCs w:val="0"/>
          <w:sz w:val="32"/>
          <w:szCs w:val="32"/>
          <w:highlight w:val="none"/>
          <w:lang w:eastAsia="zh-CN"/>
        </w:rPr>
        <w:t>本</w:t>
      </w:r>
      <w:r>
        <w:rPr>
          <w:rFonts w:hint="eastAsia" w:ascii="Times New Roman" w:hAnsi="Times New Roman" w:eastAsia="仿宋_GB2312" w:cs="Times New Roman"/>
          <w:b w:val="0"/>
          <w:bCs w:val="0"/>
          <w:sz w:val="32"/>
          <w:szCs w:val="32"/>
          <w:highlight w:val="none"/>
          <w:lang w:eastAsia="zh-CN"/>
        </w:rPr>
        <w:t>实施</w:t>
      </w:r>
      <w:r>
        <w:rPr>
          <w:rFonts w:hint="default" w:ascii="Times New Roman" w:hAnsi="Times New Roman" w:eastAsia="仿宋_GB2312" w:cs="Times New Roman"/>
          <w:b w:val="0"/>
          <w:bCs w:val="0"/>
          <w:sz w:val="32"/>
          <w:szCs w:val="32"/>
          <w:highlight w:val="none"/>
          <w:lang w:eastAsia="zh-CN"/>
        </w:rPr>
        <w:t>细则自发布之日起实施，由</w:t>
      </w:r>
      <w:r>
        <w:rPr>
          <w:rFonts w:hint="eastAsia" w:eastAsia="仿宋_GB2312" w:cs="Times New Roman"/>
          <w:b w:val="0"/>
          <w:bCs w:val="0"/>
          <w:sz w:val="32"/>
          <w:szCs w:val="32"/>
          <w:highlight w:val="none"/>
          <w:lang w:eastAsia="zh-CN"/>
        </w:rPr>
        <w:t>福建</w:t>
      </w:r>
      <w:r>
        <w:rPr>
          <w:rFonts w:hint="default" w:ascii="Times New Roman" w:hAnsi="Times New Roman" w:eastAsia="仿宋_GB2312" w:cs="Times New Roman"/>
          <w:b w:val="0"/>
          <w:bCs w:val="0"/>
          <w:sz w:val="32"/>
          <w:szCs w:val="32"/>
          <w:highlight w:val="none"/>
          <w:lang w:eastAsia="zh-CN"/>
        </w:rPr>
        <w:t>省分局负责解释。</w:t>
      </w:r>
    </w:p>
    <w:p>
      <w:pPr>
        <w:pStyle w:val="2"/>
      </w:pPr>
    </w:p>
    <w:p>
      <w:pPr>
        <w:pStyle w:val="2"/>
      </w:pPr>
    </w:p>
    <w:p>
      <w:pPr>
        <w:pStyle w:val="2"/>
      </w:pPr>
    </w:p>
    <w:p>
      <w:pPr>
        <w:pStyle w:val="2"/>
      </w:pPr>
    </w:p>
    <w:p>
      <w:pPr>
        <w:pStyle w:val="2"/>
        <w:spacing w:afterLines="0"/>
        <w:ind w:left="0" w:leftChars="0" w:firstLine="0" w:firstLineChars="0"/>
        <w:rPr>
          <w:rFonts w:hint="eastAsia"/>
          <w:sz w:val="24"/>
        </w:rPr>
      </w:pPr>
    </w:p>
    <w:p>
      <w:pPr>
        <w:ind w:firstLine="640" w:firstLineChars="200"/>
        <w:rPr>
          <w:rFonts w:hint="eastAsia" w:ascii="仿宋_GB2312" w:hAnsi="仿宋_GB2312" w:eastAsia="仿宋_GB2312"/>
          <w:sz w:val="32"/>
        </w:rPr>
      </w:pPr>
    </w:p>
    <w:p>
      <w:pPr>
        <w:adjustRightInd w:val="0"/>
        <w:snapToGrid w:val="0"/>
        <w:spacing w:beforeLines="0" w:afterLines="0" w:line="560" w:lineRule="exact"/>
        <w:rPr>
          <w:rFonts w:hint="eastAsia" w:ascii="仿宋_GB2312" w:hAnsi="仿宋_GB2312" w:eastAsia="仿宋_GB2312"/>
          <w:color w:val="auto"/>
          <w:sz w:val="32"/>
          <w:u w:val="none" w:color="auto"/>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sz w:val="18"/>
      </w:rPr>
    </w:pPr>
    <w:r>
      <w:rPr>
        <w:rFonts w:hint="default"/>
        <w:sz w:val="18"/>
      </w:rPr>
      <w:fldChar w:fldCharType="begin"/>
    </w:r>
    <w:r>
      <w:rPr>
        <w:rFonts w:hint="default"/>
        <w:sz w:val="18"/>
      </w:rPr>
      <w:instrText xml:space="preserve"> PAGE   \* MERGEFORMAT </w:instrText>
    </w:r>
    <w:r>
      <w:rPr>
        <w:rFonts w:hint="default"/>
        <w:sz w:val="18"/>
      </w:rPr>
      <w:fldChar w:fldCharType="separate"/>
    </w:r>
    <w:r>
      <w:rPr>
        <w:rFonts w:hint="default"/>
        <w:sz w:val="18"/>
      </w:rPr>
      <w:t>1</w:t>
    </w:r>
    <w:r>
      <w:rPr>
        <w:rFonts w:hint="default"/>
        <w:sz w:val="18"/>
      </w:rPr>
      <w:fldChar w:fldCharType="end"/>
    </w:r>
  </w:p>
  <w:p>
    <w:pPr>
      <w:pStyle w:val="4"/>
      <w:rPr>
        <w:rFonts w:hint="default"/>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0701"/>
    <w:rsid w:val="000D1B94"/>
    <w:rsid w:val="00103AAC"/>
    <w:rsid w:val="00144F31"/>
    <w:rsid w:val="00163822"/>
    <w:rsid w:val="001B620C"/>
    <w:rsid w:val="00260DF9"/>
    <w:rsid w:val="004A6B46"/>
    <w:rsid w:val="00550422"/>
    <w:rsid w:val="00956CE7"/>
    <w:rsid w:val="00A35D59"/>
    <w:rsid w:val="00BB231E"/>
    <w:rsid w:val="00BB3F88"/>
    <w:rsid w:val="00BE7534"/>
    <w:rsid w:val="00CE1020"/>
    <w:rsid w:val="00E43B6B"/>
    <w:rsid w:val="00EC2F61"/>
    <w:rsid w:val="010F0043"/>
    <w:rsid w:val="012D71D0"/>
    <w:rsid w:val="01547980"/>
    <w:rsid w:val="015A6142"/>
    <w:rsid w:val="01601304"/>
    <w:rsid w:val="016E1FEC"/>
    <w:rsid w:val="018B489D"/>
    <w:rsid w:val="019407E8"/>
    <w:rsid w:val="01962ABB"/>
    <w:rsid w:val="019834AD"/>
    <w:rsid w:val="019C6A04"/>
    <w:rsid w:val="019D0629"/>
    <w:rsid w:val="01A05364"/>
    <w:rsid w:val="01A061A4"/>
    <w:rsid w:val="01AC4623"/>
    <w:rsid w:val="01AF49A2"/>
    <w:rsid w:val="01B846C4"/>
    <w:rsid w:val="01BC6B0E"/>
    <w:rsid w:val="01C02581"/>
    <w:rsid w:val="01D07B41"/>
    <w:rsid w:val="01D16DAC"/>
    <w:rsid w:val="01F80A9B"/>
    <w:rsid w:val="02213F17"/>
    <w:rsid w:val="02294764"/>
    <w:rsid w:val="02511CA5"/>
    <w:rsid w:val="027502C0"/>
    <w:rsid w:val="02826B65"/>
    <w:rsid w:val="0291322F"/>
    <w:rsid w:val="02945830"/>
    <w:rsid w:val="02AF10B5"/>
    <w:rsid w:val="02B2010A"/>
    <w:rsid w:val="02C17917"/>
    <w:rsid w:val="02CD78F8"/>
    <w:rsid w:val="02DE0F28"/>
    <w:rsid w:val="02E22D69"/>
    <w:rsid w:val="02FB2AA7"/>
    <w:rsid w:val="030F439E"/>
    <w:rsid w:val="032E47FA"/>
    <w:rsid w:val="032F7723"/>
    <w:rsid w:val="035A0B61"/>
    <w:rsid w:val="036B2F56"/>
    <w:rsid w:val="037B7C29"/>
    <w:rsid w:val="03A24DA8"/>
    <w:rsid w:val="03DA7F55"/>
    <w:rsid w:val="03DB2879"/>
    <w:rsid w:val="04016CD0"/>
    <w:rsid w:val="040B5649"/>
    <w:rsid w:val="04191EEA"/>
    <w:rsid w:val="042E6FF7"/>
    <w:rsid w:val="04344701"/>
    <w:rsid w:val="04392956"/>
    <w:rsid w:val="0443506B"/>
    <w:rsid w:val="044E152E"/>
    <w:rsid w:val="04772C67"/>
    <w:rsid w:val="04774631"/>
    <w:rsid w:val="048933F5"/>
    <w:rsid w:val="04AE33CE"/>
    <w:rsid w:val="04AF40E7"/>
    <w:rsid w:val="04B52D54"/>
    <w:rsid w:val="04C47DC6"/>
    <w:rsid w:val="04EB28BD"/>
    <w:rsid w:val="04F077CD"/>
    <w:rsid w:val="04F57A40"/>
    <w:rsid w:val="04FF7B08"/>
    <w:rsid w:val="050B48DF"/>
    <w:rsid w:val="052A14A0"/>
    <w:rsid w:val="052C1009"/>
    <w:rsid w:val="05364D05"/>
    <w:rsid w:val="053B77CB"/>
    <w:rsid w:val="054A4BE9"/>
    <w:rsid w:val="057F6494"/>
    <w:rsid w:val="05851D1D"/>
    <w:rsid w:val="0591779C"/>
    <w:rsid w:val="059D32BA"/>
    <w:rsid w:val="05B129A2"/>
    <w:rsid w:val="05B464E1"/>
    <w:rsid w:val="05B60C3A"/>
    <w:rsid w:val="05CB7774"/>
    <w:rsid w:val="05DF6A84"/>
    <w:rsid w:val="063C4583"/>
    <w:rsid w:val="06435010"/>
    <w:rsid w:val="064D06F4"/>
    <w:rsid w:val="067227A7"/>
    <w:rsid w:val="06841794"/>
    <w:rsid w:val="06A90665"/>
    <w:rsid w:val="06D67832"/>
    <w:rsid w:val="06EC4802"/>
    <w:rsid w:val="070C0532"/>
    <w:rsid w:val="071B5861"/>
    <w:rsid w:val="07212A08"/>
    <w:rsid w:val="076E1B5A"/>
    <w:rsid w:val="076F383F"/>
    <w:rsid w:val="07757FCD"/>
    <w:rsid w:val="07820737"/>
    <w:rsid w:val="07A661A7"/>
    <w:rsid w:val="07C40A5D"/>
    <w:rsid w:val="07C42CC0"/>
    <w:rsid w:val="07C509A5"/>
    <w:rsid w:val="07EA6B18"/>
    <w:rsid w:val="07FF0D1B"/>
    <w:rsid w:val="08124AA9"/>
    <w:rsid w:val="08184CD1"/>
    <w:rsid w:val="082B55E1"/>
    <w:rsid w:val="082B72FF"/>
    <w:rsid w:val="083130EF"/>
    <w:rsid w:val="08344FF4"/>
    <w:rsid w:val="085513F4"/>
    <w:rsid w:val="08CC320A"/>
    <w:rsid w:val="08ED1B30"/>
    <w:rsid w:val="08F53B57"/>
    <w:rsid w:val="09140E42"/>
    <w:rsid w:val="092D3500"/>
    <w:rsid w:val="093B6BDF"/>
    <w:rsid w:val="094C4F59"/>
    <w:rsid w:val="095310B5"/>
    <w:rsid w:val="09567B93"/>
    <w:rsid w:val="095B2A65"/>
    <w:rsid w:val="09635FB0"/>
    <w:rsid w:val="09697F6D"/>
    <w:rsid w:val="096F354E"/>
    <w:rsid w:val="09746320"/>
    <w:rsid w:val="0975701A"/>
    <w:rsid w:val="0976560F"/>
    <w:rsid w:val="097F1728"/>
    <w:rsid w:val="099A585A"/>
    <w:rsid w:val="09B421AC"/>
    <w:rsid w:val="09D02562"/>
    <w:rsid w:val="09D0689B"/>
    <w:rsid w:val="09D50801"/>
    <w:rsid w:val="09DE629B"/>
    <w:rsid w:val="0A1D3C97"/>
    <w:rsid w:val="0A35182D"/>
    <w:rsid w:val="0A4F734E"/>
    <w:rsid w:val="0A501DAB"/>
    <w:rsid w:val="0A6025BC"/>
    <w:rsid w:val="0A651EBF"/>
    <w:rsid w:val="0A675A75"/>
    <w:rsid w:val="0A7F243F"/>
    <w:rsid w:val="0A9F53AF"/>
    <w:rsid w:val="0AAA2C3B"/>
    <w:rsid w:val="0AB85277"/>
    <w:rsid w:val="0AD16417"/>
    <w:rsid w:val="0AD67974"/>
    <w:rsid w:val="0AD975A7"/>
    <w:rsid w:val="0AFD13AA"/>
    <w:rsid w:val="0B146309"/>
    <w:rsid w:val="0B1D650C"/>
    <w:rsid w:val="0B246DCA"/>
    <w:rsid w:val="0B383304"/>
    <w:rsid w:val="0B6100C6"/>
    <w:rsid w:val="0B831DA1"/>
    <w:rsid w:val="0B85119B"/>
    <w:rsid w:val="0B8A3B6D"/>
    <w:rsid w:val="0B902E77"/>
    <w:rsid w:val="0B935B65"/>
    <w:rsid w:val="0BA32998"/>
    <w:rsid w:val="0BAD535C"/>
    <w:rsid w:val="0BCB25F2"/>
    <w:rsid w:val="0BE930D0"/>
    <w:rsid w:val="0BFB76C7"/>
    <w:rsid w:val="0C1A6A9E"/>
    <w:rsid w:val="0C2841CC"/>
    <w:rsid w:val="0C2B615D"/>
    <w:rsid w:val="0C48107C"/>
    <w:rsid w:val="0C4D039F"/>
    <w:rsid w:val="0C554C9F"/>
    <w:rsid w:val="0C5C1773"/>
    <w:rsid w:val="0C700505"/>
    <w:rsid w:val="0C751C93"/>
    <w:rsid w:val="0CA305C5"/>
    <w:rsid w:val="0CB415EE"/>
    <w:rsid w:val="0CD34329"/>
    <w:rsid w:val="0CEC681E"/>
    <w:rsid w:val="0D0679F3"/>
    <w:rsid w:val="0D36786E"/>
    <w:rsid w:val="0D3C0BB6"/>
    <w:rsid w:val="0D42615A"/>
    <w:rsid w:val="0D474BB6"/>
    <w:rsid w:val="0D4D6E50"/>
    <w:rsid w:val="0D5253A4"/>
    <w:rsid w:val="0D5D2863"/>
    <w:rsid w:val="0D5F444B"/>
    <w:rsid w:val="0D722254"/>
    <w:rsid w:val="0DC7587D"/>
    <w:rsid w:val="0DCE708E"/>
    <w:rsid w:val="0DD33CC3"/>
    <w:rsid w:val="0DD64168"/>
    <w:rsid w:val="0DD74F55"/>
    <w:rsid w:val="0DEF6F4C"/>
    <w:rsid w:val="0DFC2484"/>
    <w:rsid w:val="0E081ED5"/>
    <w:rsid w:val="0E1F774E"/>
    <w:rsid w:val="0E355C46"/>
    <w:rsid w:val="0E391F0C"/>
    <w:rsid w:val="0E3B6980"/>
    <w:rsid w:val="0E452F88"/>
    <w:rsid w:val="0E4B513C"/>
    <w:rsid w:val="0E6D6744"/>
    <w:rsid w:val="0E726053"/>
    <w:rsid w:val="0EB12901"/>
    <w:rsid w:val="0ECD2C1C"/>
    <w:rsid w:val="0EFD4DDB"/>
    <w:rsid w:val="0F0F47FC"/>
    <w:rsid w:val="0F1D3557"/>
    <w:rsid w:val="0F224C4A"/>
    <w:rsid w:val="0F281E9A"/>
    <w:rsid w:val="0F36626C"/>
    <w:rsid w:val="0F433458"/>
    <w:rsid w:val="0F566ADD"/>
    <w:rsid w:val="0F642EA6"/>
    <w:rsid w:val="0F6771DF"/>
    <w:rsid w:val="0F710F6A"/>
    <w:rsid w:val="0F732864"/>
    <w:rsid w:val="0F7F3AF7"/>
    <w:rsid w:val="0F840BBF"/>
    <w:rsid w:val="0F9C7232"/>
    <w:rsid w:val="0FAF3E27"/>
    <w:rsid w:val="0FDC237F"/>
    <w:rsid w:val="0FE26E24"/>
    <w:rsid w:val="0FE35867"/>
    <w:rsid w:val="10034AD4"/>
    <w:rsid w:val="10330AF7"/>
    <w:rsid w:val="104563E0"/>
    <w:rsid w:val="104C5988"/>
    <w:rsid w:val="105A611D"/>
    <w:rsid w:val="107670AA"/>
    <w:rsid w:val="108F029B"/>
    <w:rsid w:val="10AF2E00"/>
    <w:rsid w:val="10B17780"/>
    <w:rsid w:val="10C704F8"/>
    <w:rsid w:val="10D8062C"/>
    <w:rsid w:val="10E10BD1"/>
    <w:rsid w:val="10EC64ED"/>
    <w:rsid w:val="111228C9"/>
    <w:rsid w:val="112707D1"/>
    <w:rsid w:val="114E4BA9"/>
    <w:rsid w:val="1155723D"/>
    <w:rsid w:val="11735D76"/>
    <w:rsid w:val="117B4437"/>
    <w:rsid w:val="118920C6"/>
    <w:rsid w:val="118A1130"/>
    <w:rsid w:val="11965536"/>
    <w:rsid w:val="119A0BC1"/>
    <w:rsid w:val="11AB6977"/>
    <w:rsid w:val="11D076C7"/>
    <w:rsid w:val="11E23358"/>
    <w:rsid w:val="11EA1C3B"/>
    <w:rsid w:val="11F83565"/>
    <w:rsid w:val="12010599"/>
    <w:rsid w:val="12132C2F"/>
    <w:rsid w:val="12231E24"/>
    <w:rsid w:val="122B36F8"/>
    <w:rsid w:val="127A0A2B"/>
    <w:rsid w:val="1280094A"/>
    <w:rsid w:val="12885817"/>
    <w:rsid w:val="12952D57"/>
    <w:rsid w:val="12CE1876"/>
    <w:rsid w:val="12DE62B6"/>
    <w:rsid w:val="12EE71F5"/>
    <w:rsid w:val="130B1A60"/>
    <w:rsid w:val="13123F02"/>
    <w:rsid w:val="13191F9D"/>
    <w:rsid w:val="13236532"/>
    <w:rsid w:val="13275874"/>
    <w:rsid w:val="13277650"/>
    <w:rsid w:val="13312D86"/>
    <w:rsid w:val="134A23A8"/>
    <w:rsid w:val="13524C7C"/>
    <w:rsid w:val="13577423"/>
    <w:rsid w:val="138D7CF3"/>
    <w:rsid w:val="13AF5EED"/>
    <w:rsid w:val="13BF3D25"/>
    <w:rsid w:val="13D51861"/>
    <w:rsid w:val="13E616E0"/>
    <w:rsid w:val="13EF27B7"/>
    <w:rsid w:val="14017CF9"/>
    <w:rsid w:val="142741CF"/>
    <w:rsid w:val="14386BFD"/>
    <w:rsid w:val="146130DA"/>
    <w:rsid w:val="147F5914"/>
    <w:rsid w:val="14825DF7"/>
    <w:rsid w:val="148E3732"/>
    <w:rsid w:val="149A3E30"/>
    <w:rsid w:val="14BA1E2B"/>
    <w:rsid w:val="14D21C1D"/>
    <w:rsid w:val="14F242C8"/>
    <w:rsid w:val="14F42780"/>
    <w:rsid w:val="150E6980"/>
    <w:rsid w:val="151021CA"/>
    <w:rsid w:val="15122123"/>
    <w:rsid w:val="15336D38"/>
    <w:rsid w:val="157B5D2A"/>
    <w:rsid w:val="158545F6"/>
    <w:rsid w:val="15877BB3"/>
    <w:rsid w:val="159A6E15"/>
    <w:rsid w:val="15CA5E60"/>
    <w:rsid w:val="15D10BAE"/>
    <w:rsid w:val="15D81DBD"/>
    <w:rsid w:val="15DB6885"/>
    <w:rsid w:val="15E71FAC"/>
    <w:rsid w:val="15E941E2"/>
    <w:rsid w:val="15F15A11"/>
    <w:rsid w:val="15F34807"/>
    <w:rsid w:val="1618374B"/>
    <w:rsid w:val="1622387F"/>
    <w:rsid w:val="163A22FE"/>
    <w:rsid w:val="16452A60"/>
    <w:rsid w:val="16663405"/>
    <w:rsid w:val="166C631C"/>
    <w:rsid w:val="168D53EF"/>
    <w:rsid w:val="168E20B4"/>
    <w:rsid w:val="16C23821"/>
    <w:rsid w:val="16DD32D5"/>
    <w:rsid w:val="16E03103"/>
    <w:rsid w:val="16F16318"/>
    <w:rsid w:val="16FE2BC4"/>
    <w:rsid w:val="17001F82"/>
    <w:rsid w:val="17070983"/>
    <w:rsid w:val="170B7CA7"/>
    <w:rsid w:val="170F0429"/>
    <w:rsid w:val="173E2AA4"/>
    <w:rsid w:val="17424EE8"/>
    <w:rsid w:val="17496C3C"/>
    <w:rsid w:val="174E11DA"/>
    <w:rsid w:val="17691386"/>
    <w:rsid w:val="17896621"/>
    <w:rsid w:val="17A35B60"/>
    <w:rsid w:val="17BB01EF"/>
    <w:rsid w:val="17BD66CF"/>
    <w:rsid w:val="17C268CD"/>
    <w:rsid w:val="17C40B58"/>
    <w:rsid w:val="17D74B5F"/>
    <w:rsid w:val="17DB38F6"/>
    <w:rsid w:val="17ED3EE8"/>
    <w:rsid w:val="17FC5993"/>
    <w:rsid w:val="17FF1EF2"/>
    <w:rsid w:val="18126CB7"/>
    <w:rsid w:val="184763DC"/>
    <w:rsid w:val="1849022C"/>
    <w:rsid w:val="185C35E3"/>
    <w:rsid w:val="187B17A2"/>
    <w:rsid w:val="187E7B09"/>
    <w:rsid w:val="18B77C1F"/>
    <w:rsid w:val="18C23B68"/>
    <w:rsid w:val="18CF2511"/>
    <w:rsid w:val="18D56529"/>
    <w:rsid w:val="18E7466E"/>
    <w:rsid w:val="1902082B"/>
    <w:rsid w:val="191127A3"/>
    <w:rsid w:val="19116BBA"/>
    <w:rsid w:val="19303268"/>
    <w:rsid w:val="19673FF7"/>
    <w:rsid w:val="19697C06"/>
    <w:rsid w:val="19721B6C"/>
    <w:rsid w:val="19796792"/>
    <w:rsid w:val="19881E04"/>
    <w:rsid w:val="19890DD8"/>
    <w:rsid w:val="199A6967"/>
    <w:rsid w:val="19A67C68"/>
    <w:rsid w:val="19A80C8B"/>
    <w:rsid w:val="19AC413F"/>
    <w:rsid w:val="19B1478C"/>
    <w:rsid w:val="19D60019"/>
    <w:rsid w:val="19D774E5"/>
    <w:rsid w:val="19DF400C"/>
    <w:rsid w:val="19F7276D"/>
    <w:rsid w:val="1A0F179F"/>
    <w:rsid w:val="1A111570"/>
    <w:rsid w:val="1A1F5272"/>
    <w:rsid w:val="1A30736A"/>
    <w:rsid w:val="1A653251"/>
    <w:rsid w:val="1A6D5BD0"/>
    <w:rsid w:val="1A7A68F7"/>
    <w:rsid w:val="1A8B5941"/>
    <w:rsid w:val="1A9E5552"/>
    <w:rsid w:val="1AF80847"/>
    <w:rsid w:val="1B0C0A03"/>
    <w:rsid w:val="1B602AC0"/>
    <w:rsid w:val="1B665836"/>
    <w:rsid w:val="1B6F411E"/>
    <w:rsid w:val="1B6F50CC"/>
    <w:rsid w:val="1B82149C"/>
    <w:rsid w:val="1BAA1BA1"/>
    <w:rsid w:val="1BAF60FE"/>
    <w:rsid w:val="1BB524C4"/>
    <w:rsid w:val="1BB66078"/>
    <w:rsid w:val="1BC23335"/>
    <w:rsid w:val="1BC235A6"/>
    <w:rsid w:val="1BCD3F17"/>
    <w:rsid w:val="1BCD72C4"/>
    <w:rsid w:val="1BD1137D"/>
    <w:rsid w:val="1BE51BD1"/>
    <w:rsid w:val="1C03597A"/>
    <w:rsid w:val="1C1B4CBD"/>
    <w:rsid w:val="1C522FC7"/>
    <w:rsid w:val="1C5F5553"/>
    <w:rsid w:val="1C64368D"/>
    <w:rsid w:val="1C651361"/>
    <w:rsid w:val="1C7E1E1E"/>
    <w:rsid w:val="1C826411"/>
    <w:rsid w:val="1C893249"/>
    <w:rsid w:val="1C8A4A1D"/>
    <w:rsid w:val="1C960E23"/>
    <w:rsid w:val="1C967FC9"/>
    <w:rsid w:val="1C9E2904"/>
    <w:rsid w:val="1CCF63A8"/>
    <w:rsid w:val="1D38208F"/>
    <w:rsid w:val="1D6720D4"/>
    <w:rsid w:val="1D684B8F"/>
    <w:rsid w:val="1DA0124D"/>
    <w:rsid w:val="1DA25467"/>
    <w:rsid w:val="1DBF4A6B"/>
    <w:rsid w:val="1DD64F0E"/>
    <w:rsid w:val="1DD72680"/>
    <w:rsid w:val="1DEF51A5"/>
    <w:rsid w:val="1E372204"/>
    <w:rsid w:val="1E392EB5"/>
    <w:rsid w:val="1E3A3309"/>
    <w:rsid w:val="1E6146D2"/>
    <w:rsid w:val="1E7B1832"/>
    <w:rsid w:val="1E837B79"/>
    <w:rsid w:val="1EAC226A"/>
    <w:rsid w:val="1EB1090D"/>
    <w:rsid w:val="1EBE1CBE"/>
    <w:rsid w:val="1EC06458"/>
    <w:rsid w:val="1EE07AD6"/>
    <w:rsid w:val="1EE1355C"/>
    <w:rsid w:val="1EF65465"/>
    <w:rsid w:val="1F0A6406"/>
    <w:rsid w:val="1F1A35D9"/>
    <w:rsid w:val="1F2203F8"/>
    <w:rsid w:val="1F2871CE"/>
    <w:rsid w:val="1F3C63AD"/>
    <w:rsid w:val="1F4154DB"/>
    <w:rsid w:val="1F733E32"/>
    <w:rsid w:val="1F76123B"/>
    <w:rsid w:val="1F7A60CD"/>
    <w:rsid w:val="1F966982"/>
    <w:rsid w:val="1F9C4F8F"/>
    <w:rsid w:val="1FB05DBD"/>
    <w:rsid w:val="1FB2235F"/>
    <w:rsid w:val="1FB41064"/>
    <w:rsid w:val="1FB67401"/>
    <w:rsid w:val="1FCA5B21"/>
    <w:rsid w:val="1FCE3A03"/>
    <w:rsid w:val="1FCF706E"/>
    <w:rsid w:val="1FDA4812"/>
    <w:rsid w:val="1FE60DA4"/>
    <w:rsid w:val="1FF9296D"/>
    <w:rsid w:val="1FFA455A"/>
    <w:rsid w:val="203876E8"/>
    <w:rsid w:val="203A6388"/>
    <w:rsid w:val="20621094"/>
    <w:rsid w:val="20807884"/>
    <w:rsid w:val="20A04867"/>
    <w:rsid w:val="20AA1E86"/>
    <w:rsid w:val="20AF49BF"/>
    <w:rsid w:val="20BD33D8"/>
    <w:rsid w:val="20C26E1E"/>
    <w:rsid w:val="20C635B3"/>
    <w:rsid w:val="20D46075"/>
    <w:rsid w:val="20F04AD2"/>
    <w:rsid w:val="20F246B6"/>
    <w:rsid w:val="210422DB"/>
    <w:rsid w:val="21087D8B"/>
    <w:rsid w:val="2110216E"/>
    <w:rsid w:val="21177913"/>
    <w:rsid w:val="214E4B9A"/>
    <w:rsid w:val="2150424B"/>
    <w:rsid w:val="21531C6C"/>
    <w:rsid w:val="2165405A"/>
    <w:rsid w:val="2166354A"/>
    <w:rsid w:val="218372B1"/>
    <w:rsid w:val="21892FEB"/>
    <w:rsid w:val="218B0234"/>
    <w:rsid w:val="219E2857"/>
    <w:rsid w:val="21AA63CE"/>
    <w:rsid w:val="21B23ADB"/>
    <w:rsid w:val="21B24417"/>
    <w:rsid w:val="21B90CF6"/>
    <w:rsid w:val="21CD7922"/>
    <w:rsid w:val="21D603C5"/>
    <w:rsid w:val="21D82A16"/>
    <w:rsid w:val="21DC3709"/>
    <w:rsid w:val="21E4725F"/>
    <w:rsid w:val="21E85F89"/>
    <w:rsid w:val="21F141D1"/>
    <w:rsid w:val="21F84023"/>
    <w:rsid w:val="221B2838"/>
    <w:rsid w:val="2242006C"/>
    <w:rsid w:val="22447B6E"/>
    <w:rsid w:val="2248156B"/>
    <w:rsid w:val="224D7956"/>
    <w:rsid w:val="226E2C9F"/>
    <w:rsid w:val="226F2DD3"/>
    <w:rsid w:val="22754808"/>
    <w:rsid w:val="22895AEB"/>
    <w:rsid w:val="228B74C9"/>
    <w:rsid w:val="22B16DEA"/>
    <w:rsid w:val="22B318DA"/>
    <w:rsid w:val="22B508A0"/>
    <w:rsid w:val="22BA6F8D"/>
    <w:rsid w:val="22DC50EF"/>
    <w:rsid w:val="23413841"/>
    <w:rsid w:val="234909E9"/>
    <w:rsid w:val="236D5295"/>
    <w:rsid w:val="23716D6E"/>
    <w:rsid w:val="2371744A"/>
    <w:rsid w:val="23740A16"/>
    <w:rsid w:val="237F0CDC"/>
    <w:rsid w:val="238100C9"/>
    <w:rsid w:val="23883FAC"/>
    <w:rsid w:val="238B7920"/>
    <w:rsid w:val="23B018FE"/>
    <w:rsid w:val="23B7298A"/>
    <w:rsid w:val="23C80784"/>
    <w:rsid w:val="241E5EE0"/>
    <w:rsid w:val="241F351E"/>
    <w:rsid w:val="24330DE3"/>
    <w:rsid w:val="243B4F8C"/>
    <w:rsid w:val="24822C7E"/>
    <w:rsid w:val="24A5409A"/>
    <w:rsid w:val="24B744E2"/>
    <w:rsid w:val="24CF1103"/>
    <w:rsid w:val="24DA705D"/>
    <w:rsid w:val="24DE618F"/>
    <w:rsid w:val="24E643F7"/>
    <w:rsid w:val="250526F6"/>
    <w:rsid w:val="25103B0E"/>
    <w:rsid w:val="251C5797"/>
    <w:rsid w:val="251C7702"/>
    <w:rsid w:val="253F42CE"/>
    <w:rsid w:val="25524B1F"/>
    <w:rsid w:val="25871A0C"/>
    <w:rsid w:val="25B07748"/>
    <w:rsid w:val="25E53822"/>
    <w:rsid w:val="25E818AA"/>
    <w:rsid w:val="25F6697D"/>
    <w:rsid w:val="262E21C4"/>
    <w:rsid w:val="2634583B"/>
    <w:rsid w:val="26372F27"/>
    <w:rsid w:val="263A5937"/>
    <w:rsid w:val="265B732A"/>
    <w:rsid w:val="26625CB0"/>
    <w:rsid w:val="26745388"/>
    <w:rsid w:val="26826F1A"/>
    <w:rsid w:val="26914A9F"/>
    <w:rsid w:val="26953B5C"/>
    <w:rsid w:val="26A35303"/>
    <w:rsid w:val="26D8332A"/>
    <w:rsid w:val="271C6360"/>
    <w:rsid w:val="272133AA"/>
    <w:rsid w:val="2739481F"/>
    <w:rsid w:val="274F5376"/>
    <w:rsid w:val="276C56CF"/>
    <w:rsid w:val="279C54B9"/>
    <w:rsid w:val="27AD145E"/>
    <w:rsid w:val="27AD4641"/>
    <w:rsid w:val="27D01244"/>
    <w:rsid w:val="27DE7716"/>
    <w:rsid w:val="27E40663"/>
    <w:rsid w:val="27E6425B"/>
    <w:rsid w:val="27EC152A"/>
    <w:rsid w:val="27F21E52"/>
    <w:rsid w:val="280F3A90"/>
    <w:rsid w:val="282B78FD"/>
    <w:rsid w:val="28555557"/>
    <w:rsid w:val="285731E5"/>
    <w:rsid w:val="28711427"/>
    <w:rsid w:val="2873214A"/>
    <w:rsid w:val="28834712"/>
    <w:rsid w:val="28B4407C"/>
    <w:rsid w:val="28B74F10"/>
    <w:rsid w:val="28BF321B"/>
    <w:rsid w:val="28F13530"/>
    <w:rsid w:val="28FF31A1"/>
    <w:rsid w:val="290F1036"/>
    <w:rsid w:val="291E0E4F"/>
    <w:rsid w:val="29314F0B"/>
    <w:rsid w:val="29382034"/>
    <w:rsid w:val="29701559"/>
    <w:rsid w:val="298B6ED9"/>
    <w:rsid w:val="29954A71"/>
    <w:rsid w:val="29A16D27"/>
    <w:rsid w:val="29C36DCE"/>
    <w:rsid w:val="29C918B9"/>
    <w:rsid w:val="2A077E12"/>
    <w:rsid w:val="2A0D3E37"/>
    <w:rsid w:val="2A1842E1"/>
    <w:rsid w:val="2A273BE7"/>
    <w:rsid w:val="2A2A4185"/>
    <w:rsid w:val="2A3C70C3"/>
    <w:rsid w:val="2A5424AE"/>
    <w:rsid w:val="2A682A86"/>
    <w:rsid w:val="2A6E3581"/>
    <w:rsid w:val="2A797564"/>
    <w:rsid w:val="2A986CC6"/>
    <w:rsid w:val="2A9D7103"/>
    <w:rsid w:val="2AA02440"/>
    <w:rsid w:val="2ABF72AF"/>
    <w:rsid w:val="2AC76E11"/>
    <w:rsid w:val="2AFA6053"/>
    <w:rsid w:val="2B0019F9"/>
    <w:rsid w:val="2B082372"/>
    <w:rsid w:val="2B0B3551"/>
    <w:rsid w:val="2B2C5D81"/>
    <w:rsid w:val="2B336A43"/>
    <w:rsid w:val="2B411568"/>
    <w:rsid w:val="2B506237"/>
    <w:rsid w:val="2B5B6074"/>
    <w:rsid w:val="2B5E2928"/>
    <w:rsid w:val="2B6A5EFA"/>
    <w:rsid w:val="2B73215C"/>
    <w:rsid w:val="2B8074E2"/>
    <w:rsid w:val="2B9C0E63"/>
    <w:rsid w:val="2BAD4D91"/>
    <w:rsid w:val="2BC07022"/>
    <w:rsid w:val="2BE92933"/>
    <w:rsid w:val="2BF13CDE"/>
    <w:rsid w:val="2BFA08B6"/>
    <w:rsid w:val="2C347E9F"/>
    <w:rsid w:val="2C350894"/>
    <w:rsid w:val="2C396626"/>
    <w:rsid w:val="2C4329C1"/>
    <w:rsid w:val="2C4472D5"/>
    <w:rsid w:val="2C497D96"/>
    <w:rsid w:val="2C4B750B"/>
    <w:rsid w:val="2C502B24"/>
    <w:rsid w:val="2C52676D"/>
    <w:rsid w:val="2C595674"/>
    <w:rsid w:val="2C5F2770"/>
    <w:rsid w:val="2C8F48E6"/>
    <w:rsid w:val="2C944E83"/>
    <w:rsid w:val="2CB35C8A"/>
    <w:rsid w:val="2CB76182"/>
    <w:rsid w:val="2CD51B7D"/>
    <w:rsid w:val="2CDE3F14"/>
    <w:rsid w:val="2CF31819"/>
    <w:rsid w:val="2D030BA2"/>
    <w:rsid w:val="2D17196C"/>
    <w:rsid w:val="2D1E4842"/>
    <w:rsid w:val="2D27099A"/>
    <w:rsid w:val="2D31266F"/>
    <w:rsid w:val="2D345202"/>
    <w:rsid w:val="2D3B24A0"/>
    <w:rsid w:val="2D474EA7"/>
    <w:rsid w:val="2D6A012D"/>
    <w:rsid w:val="2D8461E7"/>
    <w:rsid w:val="2DC30753"/>
    <w:rsid w:val="2DD05127"/>
    <w:rsid w:val="2DF53456"/>
    <w:rsid w:val="2E273953"/>
    <w:rsid w:val="2E3E2275"/>
    <w:rsid w:val="2E47665A"/>
    <w:rsid w:val="2E4F32FB"/>
    <w:rsid w:val="2E52546C"/>
    <w:rsid w:val="2E533FCD"/>
    <w:rsid w:val="2E591D4A"/>
    <w:rsid w:val="2E604EC0"/>
    <w:rsid w:val="2E660554"/>
    <w:rsid w:val="2E925AA9"/>
    <w:rsid w:val="2EC05E93"/>
    <w:rsid w:val="2ECF4C27"/>
    <w:rsid w:val="2EEC472F"/>
    <w:rsid w:val="2EF0211E"/>
    <w:rsid w:val="2F002CCF"/>
    <w:rsid w:val="2F006370"/>
    <w:rsid w:val="2F2345A7"/>
    <w:rsid w:val="2F311698"/>
    <w:rsid w:val="2F3900AF"/>
    <w:rsid w:val="2F3F7AD8"/>
    <w:rsid w:val="2F52273E"/>
    <w:rsid w:val="2F550B34"/>
    <w:rsid w:val="2F5B5316"/>
    <w:rsid w:val="2FA35B62"/>
    <w:rsid w:val="2FAB2CE2"/>
    <w:rsid w:val="2FC9540C"/>
    <w:rsid w:val="2FCA4062"/>
    <w:rsid w:val="2FD7735E"/>
    <w:rsid w:val="2FD8307F"/>
    <w:rsid w:val="300553F4"/>
    <w:rsid w:val="30063A51"/>
    <w:rsid w:val="30091B71"/>
    <w:rsid w:val="302644AD"/>
    <w:rsid w:val="30456354"/>
    <w:rsid w:val="304674D5"/>
    <w:rsid w:val="305C4151"/>
    <w:rsid w:val="306F5401"/>
    <w:rsid w:val="307B2F61"/>
    <w:rsid w:val="308C2215"/>
    <w:rsid w:val="30A96C89"/>
    <w:rsid w:val="30B801DC"/>
    <w:rsid w:val="30C415F7"/>
    <w:rsid w:val="30C929B3"/>
    <w:rsid w:val="30DC61E5"/>
    <w:rsid w:val="30E111CC"/>
    <w:rsid w:val="30E40CBE"/>
    <w:rsid w:val="30E965FD"/>
    <w:rsid w:val="30F06DAF"/>
    <w:rsid w:val="30FF64A4"/>
    <w:rsid w:val="31066F7A"/>
    <w:rsid w:val="312B12AE"/>
    <w:rsid w:val="312F24F0"/>
    <w:rsid w:val="31385AAE"/>
    <w:rsid w:val="315541E8"/>
    <w:rsid w:val="315669A4"/>
    <w:rsid w:val="3161457D"/>
    <w:rsid w:val="3175466D"/>
    <w:rsid w:val="31A17E3D"/>
    <w:rsid w:val="31A354FA"/>
    <w:rsid w:val="31AE1822"/>
    <w:rsid w:val="31BE6ACC"/>
    <w:rsid w:val="31CB702D"/>
    <w:rsid w:val="31FC4A99"/>
    <w:rsid w:val="320473B9"/>
    <w:rsid w:val="32141EAB"/>
    <w:rsid w:val="3222532F"/>
    <w:rsid w:val="324D33C6"/>
    <w:rsid w:val="325413A2"/>
    <w:rsid w:val="325B1A13"/>
    <w:rsid w:val="326910D1"/>
    <w:rsid w:val="32852E6E"/>
    <w:rsid w:val="328B3CC3"/>
    <w:rsid w:val="32996DE7"/>
    <w:rsid w:val="32C432DE"/>
    <w:rsid w:val="32D64866"/>
    <w:rsid w:val="32DB6FB8"/>
    <w:rsid w:val="32E10FE3"/>
    <w:rsid w:val="33094A5B"/>
    <w:rsid w:val="33117358"/>
    <w:rsid w:val="3312166A"/>
    <w:rsid w:val="33175015"/>
    <w:rsid w:val="331A5ACA"/>
    <w:rsid w:val="33217B3E"/>
    <w:rsid w:val="33565C2E"/>
    <w:rsid w:val="33580422"/>
    <w:rsid w:val="33591307"/>
    <w:rsid w:val="336152DE"/>
    <w:rsid w:val="33965FAB"/>
    <w:rsid w:val="33B45DC9"/>
    <w:rsid w:val="33B67016"/>
    <w:rsid w:val="33C43AEA"/>
    <w:rsid w:val="3422568A"/>
    <w:rsid w:val="34341290"/>
    <w:rsid w:val="346B37C6"/>
    <w:rsid w:val="34801713"/>
    <w:rsid w:val="34873127"/>
    <w:rsid w:val="348E55BA"/>
    <w:rsid w:val="349F3601"/>
    <w:rsid w:val="34AF00E0"/>
    <w:rsid w:val="34DA55CC"/>
    <w:rsid w:val="34E65A92"/>
    <w:rsid w:val="350143A7"/>
    <w:rsid w:val="351F4489"/>
    <w:rsid w:val="35287A57"/>
    <w:rsid w:val="353D3934"/>
    <w:rsid w:val="354F7ED2"/>
    <w:rsid w:val="355E5713"/>
    <w:rsid w:val="35846BE3"/>
    <w:rsid w:val="35972A3B"/>
    <w:rsid w:val="35E875BC"/>
    <w:rsid w:val="35F16512"/>
    <w:rsid w:val="35F5433F"/>
    <w:rsid w:val="35F96A44"/>
    <w:rsid w:val="36067D1A"/>
    <w:rsid w:val="36070DE0"/>
    <w:rsid w:val="360E4B4E"/>
    <w:rsid w:val="360E54BC"/>
    <w:rsid w:val="36362812"/>
    <w:rsid w:val="36373C70"/>
    <w:rsid w:val="36403D87"/>
    <w:rsid w:val="364F31CC"/>
    <w:rsid w:val="36533199"/>
    <w:rsid w:val="36550B32"/>
    <w:rsid w:val="36732BF6"/>
    <w:rsid w:val="368B2596"/>
    <w:rsid w:val="36A520D1"/>
    <w:rsid w:val="36A728D7"/>
    <w:rsid w:val="36A81D0C"/>
    <w:rsid w:val="36BA1A65"/>
    <w:rsid w:val="36CA3DD2"/>
    <w:rsid w:val="36DE6663"/>
    <w:rsid w:val="36E37179"/>
    <w:rsid w:val="36E70E16"/>
    <w:rsid w:val="37095F0C"/>
    <w:rsid w:val="3716370F"/>
    <w:rsid w:val="373452E9"/>
    <w:rsid w:val="37350FB3"/>
    <w:rsid w:val="37381EB6"/>
    <w:rsid w:val="373D22DA"/>
    <w:rsid w:val="37435F49"/>
    <w:rsid w:val="37485BE3"/>
    <w:rsid w:val="37660DFE"/>
    <w:rsid w:val="37662AD9"/>
    <w:rsid w:val="377847EE"/>
    <w:rsid w:val="37B32389"/>
    <w:rsid w:val="37B730CA"/>
    <w:rsid w:val="38075BBA"/>
    <w:rsid w:val="38323E4B"/>
    <w:rsid w:val="3832712E"/>
    <w:rsid w:val="38397455"/>
    <w:rsid w:val="384D7222"/>
    <w:rsid w:val="38517B18"/>
    <w:rsid w:val="385F017E"/>
    <w:rsid w:val="386F7B8C"/>
    <w:rsid w:val="38817D91"/>
    <w:rsid w:val="3882258B"/>
    <w:rsid w:val="38AF3335"/>
    <w:rsid w:val="38C574C5"/>
    <w:rsid w:val="38CC0507"/>
    <w:rsid w:val="38CE2C9D"/>
    <w:rsid w:val="38F22B4C"/>
    <w:rsid w:val="390F3116"/>
    <w:rsid w:val="393A2E59"/>
    <w:rsid w:val="39507EF3"/>
    <w:rsid w:val="395540CD"/>
    <w:rsid w:val="395837E3"/>
    <w:rsid w:val="396A580C"/>
    <w:rsid w:val="396E2A7D"/>
    <w:rsid w:val="39877D65"/>
    <w:rsid w:val="3988231E"/>
    <w:rsid w:val="39EB462C"/>
    <w:rsid w:val="39EB54D3"/>
    <w:rsid w:val="39F85D59"/>
    <w:rsid w:val="39FD0D50"/>
    <w:rsid w:val="39FE15BF"/>
    <w:rsid w:val="3A080B73"/>
    <w:rsid w:val="3A22756F"/>
    <w:rsid w:val="3A251592"/>
    <w:rsid w:val="3A4A4509"/>
    <w:rsid w:val="3A4A4682"/>
    <w:rsid w:val="3A661483"/>
    <w:rsid w:val="3A6C3EA4"/>
    <w:rsid w:val="3A7D5FB0"/>
    <w:rsid w:val="3A9A4E4D"/>
    <w:rsid w:val="3AC0597D"/>
    <w:rsid w:val="3AC462A7"/>
    <w:rsid w:val="3AD12E3D"/>
    <w:rsid w:val="3AE40CD2"/>
    <w:rsid w:val="3AFB7E2B"/>
    <w:rsid w:val="3B130894"/>
    <w:rsid w:val="3B425370"/>
    <w:rsid w:val="3B4C2C66"/>
    <w:rsid w:val="3B5A4682"/>
    <w:rsid w:val="3B6160CE"/>
    <w:rsid w:val="3B695481"/>
    <w:rsid w:val="3B7E4F7B"/>
    <w:rsid w:val="3B826EA2"/>
    <w:rsid w:val="3B8D49BE"/>
    <w:rsid w:val="3B8E1A33"/>
    <w:rsid w:val="3BB7261E"/>
    <w:rsid w:val="3BB848EB"/>
    <w:rsid w:val="3BC27246"/>
    <w:rsid w:val="3BDF1B48"/>
    <w:rsid w:val="3BE64173"/>
    <w:rsid w:val="3BF22D83"/>
    <w:rsid w:val="3BFD378B"/>
    <w:rsid w:val="3C0A1B9B"/>
    <w:rsid w:val="3C3510EF"/>
    <w:rsid w:val="3C394BC9"/>
    <w:rsid w:val="3C4C51D3"/>
    <w:rsid w:val="3C4E5C21"/>
    <w:rsid w:val="3C4F51A9"/>
    <w:rsid w:val="3C5046B3"/>
    <w:rsid w:val="3C713A5A"/>
    <w:rsid w:val="3C7E7A64"/>
    <w:rsid w:val="3C8850F5"/>
    <w:rsid w:val="3CAF41AD"/>
    <w:rsid w:val="3CCF4D07"/>
    <w:rsid w:val="3CE63C48"/>
    <w:rsid w:val="3CE75118"/>
    <w:rsid w:val="3CF91C80"/>
    <w:rsid w:val="3D15561C"/>
    <w:rsid w:val="3D3906FF"/>
    <w:rsid w:val="3D565CA3"/>
    <w:rsid w:val="3D5B4D6F"/>
    <w:rsid w:val="3D6350FC"/>
    <w:rsid w:val="3D6721EF"/>
    <w:rsid w:val="3D6B0B5A"/>
    <w:rsid w:val="3D75049E"/>
    <w:rsid w:val="3D8769F2"/>
    <w:rsid w:val="3D8966C8"/>
    <w:rsid w:val="3D8E456D"/>
    <w:rsid w:val="3D9550FF"/>
    <w:rsid w:val="3DA02C86"/>
    <w:rsid w:val="3DD64F9E"/>
    <w:rsid w:val="3DDB7B26"/>
    <w:rsid w:val="3DE46468"/>
    <w:rsid w:val="3DEB1384"/>
    <w:rsid w:val="3E031B13"/>
    <w:rsid w:val="3E132CBC"/>
    <w:rsid w:val="3E2E721E"/>
    <w:rsid w:val="3E3C3856"/>
    <w:rsid w:val="3E3E149C"/>
    <w:rsid w:val="3E5813BB"/>
    <w:rsid w:val="3E993C30"/>
    <w:rsid w:val="3EB97CF5"/>
    <w:rsid w:val="3EBC10BD"/>
    <w:rsid w:val="3EC462B2"/>
    <w:rsid w:val="3ECF04D9"/>
    <w:rsid w:val="3EE17F42"/>
    <w:rsid w:val="3EEA7F5C"/>
    <w:rsid w:val="3F0547FD"/>
    <w:rsid w:val="3F054F34"/>
    <w:rsid w:val="3F0D6C87"/>
    <w:rsid w:val="3F180437"/>
    <w:rsid w:val="3F1F73C5"/>
    <w:rsid w:val="3F305651"/>
    <w:rsid w:val="3F6B0BD0"/>
    <w:rsid w:val="3F6F0B3D"/>
    <w:rsid w:val="3F7D332F"/>
    <w:rsid w:val="3F8B122E"/>
    <w:rsid w:val="3F8B4A0F"/>
    <w:rsid w:val="3FB845C2"/>
    <w:rsid w:val="3FD948FD"/>
    <w:rsid w:val="3FF25028"/>
    <w:rsid w:val="3FF7343F"/>
    <w:rsid w:val="3FFC27D9"/>
    <w:rsid w:val="3FFE2E51"/>
    <w:rsid w:val="401D0210"/>
    <w:rsid w:val="402312B7"/>
    <w:rsid w:val="40387186"/>
    <w:rsid w:val="40387730"/>
    <w:rsid w:val="403D083F"/>
    <w:rsid w:val="404D204C"/>
    <w:rsid w:val="407B70C1"/>
    <w:rsid w:val="40993E1A"/>
    <w:rsid w:val="409A7BB1"/>
    <w:rsid w:val="40AC0F28"/>
    <w:rsid w:val="40BC0B67"/>
    <w:rsid w:val="40BF6C33"/>
    <w:rsid w:val="40CA60A8"/>
    <w:rsid w:val="40EE6183"/>
    <w:rsid w:val="40F500FD"/>
    <w:rsid w:val="41157045"/>
    <w:rsid w:val="411815F0"/>
    <w:rsid w:val="41331F67"/>
    <w:rsid w:val="4148151F"/>
    <w:rsid w:val="414A775C"/>
    <w:rsid w:val="41773D38"/>
    <w:rsid w:val="41837C1F"/>
    <w:rsid w:val="41A1697B"/>
    <w:rsid w:val="41B85231"/>
    <w:rsid w:val="41CE3942"/>
    <w:rsid w:val="41E07A49"/>
    <w:rsid w:val="41E23D0C"/>
    <w:rsid w:val="420F485B"/>
    <w:rsid w:val="423F641F"/>
    <w:rsid w:val="425A29DF"/>
    <w:rsid w:val="425E2FDF"/>
    <w:rsid w:val="426054F8"/>
    <w:rsid w:val="426629BC"/>
    <w:rsid w:val="4282132D"/>
    <w:rsid w:val="42835175"/>
    <w:rsid w:val="42940B7E"/>
    <w:rsid w:val="429A0018"/>
    <w:rsid w:val="429D798C"/>
    <w:rsid w:val="42B33C88"/>
    <w:rsid w:val="42B615EE"/>
    <w:rsid w:val="42CA77DA"/>
    <w:rsid w:val="42D3185C"/>
    <w:rsid w:val="42DD37AA"/>
    <w:rsid w:val="42E11A4F"/>
    <w:rsid w:val="42ED6539"/>
    <w:rsid w:val="431B2491"/>
    <w:rsid w:val="43314B4A"/>
    <w:rsid w:val="433D059F"/>
    <w:rsid w:val="433E2DD7"/>
    <w:rsid w:val="434034EE"/>
    <w:rsid w:val="43460FC9"/>
    <w:rsid w:val="43672A06"/>
    <w:rsid w:val="436F0790"/>
    <w:rsid w:val="436F4663"/>
    <w:rsid w:val="43746B94"/>
    <w:rsid w:val="437559B7"/>
    <w:rsid w:val="43772825"/>
    <w:rsid w:val="4378114C"/>
    <w:rsid w:val="439A63AC"/>
    <w:rsid w:val="439E5281"/>
    <w:rsid w:val="43A266B2"/>
    <w:rsid w:val="43B2447A"/>
    <w:rsid w:val="43C92256"/>
    <w:rsid w:val="43CB41A5"/>
    <w:rsid w:val="43DD3580"/>
    <w:rsid w:val="43E71302"/>
    <w:rsid w:val="43EB160A"/>
    <w:rsid w:val="43F200AA"/>
    <w:rsid w:val="43F262C0"/>
    <w:rsid w:val="440743EC"/>
    <w:rsid w:val="443269BE"/>
    <w:rsid w:val="44532C86"/>
    <w:rsid w:val="447E0652"/>
    <w:rsid w:val="447E5389"/>
    <w:rsid w:val="448E0768"/>
    <w:rsid w:val="44C2689C"/>
    <w:rsid w:val="44CD107A"/>
    <w:rsid w:val="44E1472D"/>
    <w:rsid w:val="44E354AD"/>
    <w:rsid w:val="44EF1B0F"/>
    <w:rsid w:val="44F613DC"/>
    <w:rsid w:val="44F71067"/>
    <w:rsid w:val="45246681"/>
    <w:rsid w:val="455828A2"/>
    <w:rsid w:val="45711EB5"/>
    <w:rsid w:val="45834718"/>
    <w:rsid w:val="458365F3"/>
    <w:rsid w:val="45912B8F"/>
    <w:rsid w:val="45A4600E"/>
    <w:rsid w:val="45B11ECE"/>
    <w:rsid w:val="45CD12E9"/>
    <w:rsid w:val="45D05CD7"/>
    <w:rsid w:val="45D60E83"/>
    <w:rsid w:val="45D85451"/>
    <w:rsid w:val="45DC583D"/>
    <w:rsid w:val="45E02087"/>
    <w:rsid w:val="45F562E2"/>
    <w:rsid w:val="45F625BA"/>
    <w:rsid w:val="46096346"/>
    <w:rsid w:val="460E0B81"/>
    <w:rsid w:val="46137C67"/>
    <w:rsid w:val="46186B05"/>
    <w:rsid w:val="46382A08"/>
    <w:rsid w:val="46415651"/>
    <w:rsid w:val="464E7078"/>
    <w:rsid w:val="464F411F"/>
    <w:rsid w:val="466550A8"/>
    <w:rsid w:val="466A3BFD"/>
    <w:rsid w:val="46764DB5"/>
    <w:rsid w:val="46812A39"/>
    <w:rsid w:val="46A15F51"/>
    <w:rsid w:val="46B24387"/>
    <w:rsid w:val="46B50B75"/>
    <w:rsid w:val="46EB448A"/>
    <w:rsid w:val="46F94063"/>
    <w:rsid w:val="46FB617D"/>
    <w:rsid w:val="46FD4CBB"/>
    <w:rsid w:val="470259B6"/>
    <w:rsid w:val="47104A7E"/>
    <w:rsid w:val="4720777E"/>
    <w:rsid w:val="47401F57"/>
    <w:rsid w:val="47433CA8"/>
    <w:rsid w:val="47625BD8"/>
    <w:rsid w:val="47840B46"/>
    <w:rsid w:val="47A62000"/>
    <w:rsid w:val="47B836BF"/>
    <w:rsid w:val="47BA3C7E"/>
    <w:rsid w:val="47C97558"/>
    <w:rsid w:val="47FF6C66"/>
    <w:rsid w:val="480E62E2"/>
    <w:rsid w:val="48143DF7"/>
    <w:rsid w:val="481A01A3"/>
    <w:rsid w:val="48220312"/>
    <w:rsid w:val="482E4451"/>
    <w:rsid w:val="48331326"/>
    <w:rsid w:val="48341D07"/>
    <w:rsid w:val="483A1FCE"/>
    <w:rsid w:val="483D0BFB"/>
    <w:rsid w:val="48436C52"/>
    <w:rsid w:val="484E71DD"/>
    <w:rsid w:val="48593733"/>
    <w:rsid w:val="485C0228"/>
    <w:rsid w:val="4868784C"/>
    <w:rsid w:val="487528A0"/>
    <w:rsid w:val="4883696B"/>
    <w:rsid w:val="488C4697"/>
    <w:rsid w:val="48901D5B"/>
    <w:rsid w:val="489C4374"/>
    <w:rsid w:val="48AA46E6"/>
    <w:rsid w:val="48B13327"/>
    <w:rsid w:val="48C04213"/>
    <w:rsid w:val="48D55252"/>
    <w:rsid w:val="48D56424"/>
    <w:rsid w:val="48DF3D13"/>
    <w:rsid w:val="48E429AA"/>
    <w:rsid w:val="48E92B42"/>
    <w:rsid w:val="48FC387F"/>
    <w:rsid w:val="49297C11"/>
    <w:rsid w:val="49681CAC"/>
    <w:rsid w:val="499A0FCE"/>
    <w:rsid w:val="49A6757C"/>
    <w:rsid w:val="49A67EC6"/>
    <w:rsid w:val="49AA6295"/>
    <w:rsid w:val="49AF0BA6"/>
    <w:rsid w:val="49B36C0C"/>
    <w:rsid w:val="49BA2A83"/>
    <w:rsid w:val="49EA3B80"/>
    <w:rsid w:val="49EB7596"/>
    <w:rsid w:val="49F0400B"/>
    <w:rsid w:val="49F63769"/>
    <w:rsid w:val="49FB3A21"/>
    <w:rsid w:val="4A201E5F"/>
    <w:rsid w:val="4A3306D5"/>
    <w:rsid w:val="4A337537"/>
    <w:rsid w:val="4A520D7A"/>
    <w:rsid w:val="4A5E1922"/>
    <w:rsid w:val="4A8E2E63"/>
    <w:rsid w:val="4A980B7A"/>
    <w:rsid w:val="4AAD13A2"/>
    <w:rsid w:val="4AB808BE"/>
    <w:rsid w:val="4AD66BAA"/>
    <w:rsid w:val="4ADF2220"/>
    <w:rsid w:val="4B077AED"/>
    <w:rsid w:val="4B12542E"/>
    <w:rsid w:val="4B1F7E1C"/>
    <w:rsid w:val="4B207725"/>
    <w:rsid w:val="4B2466D1"/>
    <w:rsid w:val="4B3370FA"/>
    <w:rsid w:val="4B5F151A"/>
    <w:rsid w:val="4B601366"/>
    <w:rsid w:val="4B760F57"/>
    <w:rsid w:val="4B896479"/>
    <w:rsid w:val="4B9A2087"/>
    <w:rsid w:val="4BBF39D6"/>
    <w:rsid w:val="4BC61FF1"/>
    <w:rsid w:val="4BD5581B"/>
    <w:rsid w:val="4BE65F38"/>
    <w:rsid w:val="4BF62AEF"/>
    <w:rsid w:val="4BFD1688"/>
    <w:rsid w:val="4C09723A"/>
    <w:rsid w:val="4C157683"/>
    <w:rsid w:val="4C3676CF"/>
    <w:rsid w:val="4C4B7808"/>
    <w:rsid w:val="4C510C8C"/>
    <w:rsid w:val="4C7A2C21"/>
    <w:rsid w:val="4C7E0483"/>
    <w:rsid w:val="4C7F0805"/>
    <w:rsid w:val="4C9A506F"/>
    <w:rsid w:val="4CA505B9"/>
    <w:rsid w:val="4CAA45CA"/>
    <w:rsid w:val="4CC77BE0"/>
    <w:rsid w:val="4CEB2349"/>
    <w:rsid w:val="4D046C13"/>
    <w:rsid w:val="4D2943CE"/>
    <w:rsid w:val="4D2E6423"/>
    <w:rsid w:val="4D313BC4"/>
    <w:rsid w:val="4D54267C"/>
    <w:rsid w:val="4D5D3B35"/>
    <w:rsid w:val="4D7A5834"/>
    <w:rsid w:val="4D7C3CB4"/>
    <w:rsid w:val="4D8508DF"/>
    <w:rsid w:val="4D8954FD"/>
    <w:rsid w:val="4D8A3E7F"/>
    <w:rsid w:val="4DB959BA"/>
    <w:rsid w:val="4DD41C6B"/>
    <w:rsid w:val="4DD51D23"/>
    <w:rsid w:val="4DE42A79"/>
    <w:rsid w:val="4DED7FA5"/>
    <w:rsid w:val="4DF90C0E"/>
    <w:rsid w:val="4E257C43"/>
    <w:rsid w:val="4E300D3E"/>
    <w:rsid w:val="4E4E1548"/>
    <w:rsid w:val="4E5852E3"/>
    <w:rsid w:val="4E5E309B"/>
    <w:rsid w:val="4E67590E"/>
    <w:rsid w:val="4E6C0DA5"/>
    <w:rsid w:val="4E747E2C"/>
    <w:rsid w:val="4E854EA5"/>
    <w:rsid w:val="4E8A5A0D"/>
    <w:rsid w:val="4EA418B6"/>
    <w:rsid w:val="4EAE648B"/>
    <w:rsid w:val="4EDF073D"/>
    <w:rsid w:val="4EF84A5F"/>
    <w:rsid w:val="4F0D2D01"/>
    <w:rsid w:val="4F15186D"/>
    <w:rsid w:val="4F2B3248"/>
    <w:rsid w:val="4F2F2D69"/>
    <w:rsid w:val="4F37431C"/>
    <w:rsid w:val="4F474F7F"/>
    <w:rsid w:val="4F477823"/>
    <w:rsid w:val="4F514A31"/>
    <w:rsid w:val="4F580F27"/>
    <w:rsid w:val="4F6538BD"/>
    <w:rsid w:val="4F86314A"/>
    <w:rsid w:val="4F8F638C"/>
    <w:rsid w:val="500646E5"/>
    <w:rsid w:val="501A41A8"/>
    <w:rsid w:val="502164A4"/>
    <w:rsid w:val="50304A0D"/>
    <w:rsid w:val="505F595F"/>
    <w:rsid w:val="507B30C6"/>
    <w:rsid w:val="507D618C"/>
    <w:rsid w:val="50AB15C0"/>
    <w:rsid w:val="50B36A0C"/>
    <w:rsid w:val="50CD66D5"/>
    <w:rsid w:val="50E31089"/>
    <w:rsid w:val="50E33187"/>
    <w:rsid w:val="51161CCC"/>
    <w:rsid w:val="511A1D35"/>
    <w:rsid w:val="512A04B1"/>
    <w:rsid w:val="51354BF7"/>
    <w:rsid w:val="5155491B"/>
    <w:rsid w:val="515D5132"/>
    <w:rsid w:val="51692F1E"/>
    <w:rsid w:val="517167E7"/>
    <w:rsid w:val="51885D38"/>
    <w:rsid w:val="51950C56"/>
    <w:rsid w:val="519558AE"/>
    <w:rsid w:val="519C6822"/>
    <w:rsid w:val="519D6DB7"/>
    <w:rsid w:val="519E65D1"/>
    <w:rsid w:val="51A279D7"/>
    <w:rsid w:val="51A343EB"/>
    <w:rsid w:val="51A62DFD"/>
    <w:rsid w:val="51A90C40"/>
    <w:rsid w:val="51C56DD5"/>
    <w:rsid w:val="51CC407F"/>
    <w:rsid w:val="51DD7767"/>
    <w:rsid w:val="51EC3D7A"/>
    <w:rsid w:val="51F931AF"/>
    <w:rsid w:val="52254F03"/>
    <w:rsid w:val="52286190"/>
    <w:rsid w:val="522B7A7A"/>
    <w:rsid w:val="523B13F5"/>
    <w:rsid w:val="52524CEC"/>
    <w:rsid w:val="525758F6"/>
    <w:rsid w:val="525C4A1A"/>
    <w:rsid w:val="52656ADD"/>
    <w:rsid w:val="528841F0"/>
    <w:rsid w:val="52A20323"/>
    <w:rsid w:val="52AA44A2"/>
    <w:rsid w:val="52B905DC"/>
    <w:rsid w:val="52BF0996"/>
    <w:rsid w:val="52E828B0"/>
    <w:rsid w:val="52F44EEA"/>
    <w:rsid w:val="52FD1675"/>
    <w:rsid w:val="53093884"/>
    <w:rsid w:val="530A2C23"/>
    <w:rsid w:val="533A2260"/>
    <w:rsid w:val="534E76F7"/>
    <w:rsid w:val="53617D1D"/>
    <w:rsid w:val="536A3AED"/>
    <w:rsid w:val="53725415"/>
    <w:rsid w:val="537E1270"/>
    <w:rsid w:val="53886D10"/>
    <w:rsid w:val="539D309E"/>
    <w:rsid w:val="53A54524"/>
    <w:rsid w:val="53A74AED"/>
    <w:rsid w:val="53A81CCF"/>
    <w:rsid w:val="53C66CBE"/>
    <w:rsid w:val="53DD5F66"/>
    <w:rsid w:val="53E320B0"/>
    <w:rsid w:val="544D280C"/>
    <w:rsid w:val="545111E4"/>
    <w:rsid w:val="54912EF5"/>
    <w:rsid w:val="54944A34"/>
    <w:rsid w:val="54A73C96"/>
    <w:rsid w:val="54B442FE"/>
    <w:rsid w:val="54CF4B4A"/>
    <w:rsid w:val="54D019BE"/>
    <w:rsid w:val="54F12FF7"/>
    <w:rsid w:val="550A1A28"/>
    <w:rsid w:val="55101203"/>
    <w:rsid w:val="551D0495"/>
    <w:rsid w:val="551F67C1"/>
    <w:rsid w:val="552D3977"/>
    <w:rsid w:val="5545273F"/>
    <w:rsid w:val="554D2192"/>
    <w:rsid w:val="555F0D72"/>
    <w:rsid w:val="55751398"/>
    <w:rsid w:val="55827DB6"/>
    <w:rsid w:val="55927265"/>
    <w:rsid w:val="55AE00F1"/>
    <w:rsid w:val="55B93254"/>
    <w:rsid w:val="55DC51A8"/>
    <w:rsid w:val="55DE6CF1"/>
    <w:rsid w:val="5603152E"/>
    <w:rsid w:val="56084121"/>
    <w:rsid w:val="560C7B36"/>
    <w:rsid w:val="56160B45"/>
    <w:rsid w:val="561D2636"/>
    <w:rsid w:val="56203D56"/>
    <w:rsid w:val="562637E2"/>
    <w:rsid w:val="563B59D4"/>
    <w:rsid w:val="5644243D"/>
    <w:rsid w:val="564674B0"/>
    <w:rsid w:val="56475DEB"/>
    <w:rsid w:val="56516E30"/>
    <w:rsid w:val="56533600"/>
    <w:rsid w:val="56560D49"/>
    <w:rsid w:val="565E15D2"/>
    <w:rsid w:val="568442B6"/>
    <w:rsid w:val="56A20296"/>
    <w:rsid w:val="56B048CC"/>
    <w:rsid w:val="56B407B4"/>
    <w:rsid w:val="56BD12B0"/>
    <w:rsid w:val="56C87572"/>
    <w:rsid w:val="56DB2373"/>
    <w:rsid w:val="56EC1029"/>
    <w:rsid w:val="570E2A10"/>
    <w:rsid w:val="5715236E"/>
    <w:rsid w:val="5715492E"/>
    <w:rsid w:val="57184752"/>
    <w:rsid w:val="571C5FCD"/>
    <w:rsid w:val="57253494"/>
    <w:rsid w:val="572D6771"/>
    <w:rsid w:val="573A01BE"/>
    <w:rsid w:val="57401E3B"/>
    <w:rsid w:val="5744649C"/>
    <w:rsid w:val="574B379B"/>
    <w:rsid w:val="575F7EFE"/>
    <w:rsid w:val="57AE03FD"/>
    <w:rsid w:val="57CF78B8"/>
    <w:rsid w:val="5800774E"/>
    <w:rsid w:val="581006E9"/>
    <w:rsid w:val="58116106"/>
    <w:rsid w:val="581A1EB5"/>
    <w:rsid w:val="5823123A"/>
    <w:rsid w:val="582A1B35"/>
    <w:rsid w:val="5849580B"/>
    <w:rsid w:val="585849AE"/>
    <w:rsid w:val="58667506"/>
    <w:rsid w:val="586E7582"/>
    <w:rsid w:val="58783A25"/>
    <w:rsid w:val="587937B7"/>
    <w:rsid w:val="58AD0820"/>
    <w:rsid w:val="58AF28FA"/>
    <w:rsid w:val="58B313A2"/>
    <w:rsid w:val="58B63F1B"/>
    <w:rsid w:val="58BA137F"/>
    <w:rsid w:val="58C82940"/>
    <w:rsid w:val="58F732C8"/>
    <w:rsid w:val="59100BD5"/>
    <w:rsid w:val="591A3B1A"/>
    <w:rsid w:val="591B6328"/>
    <w:rsid w:val="594D4286"/>
    <w:rsid w:val="595309D2"/>
    <w:rsid w:val="59564BFF"/>
    <w:rsid w:val="59567CDF"/>
    <w:rsid w:val="595D4436"/>
    <w:rsid w:val="596B7154"/>
    <w:rsid w:val="59794201"/>
    <w:rsid w:val="59841F7C"/>
    <w:rsid w:val="599D70C0"/>
    <w:rsid w:val="59A63953"/>
    <w:rsid w:val="59BA429B"/>
    <w:rsid w:val="59BC517F"/>
    <w:rsid w:val="59C83DBB"/>
    <w:rsid w:val="59CF3749"/>
    <w:rsid w:val="59E2334D"/>
    <w:rsid w:val="59E452C0"/>
    <w:rsid w:val="59E73111"/>
    <w:rsid w:val="59F327C0"/>
    <w:rsid w:val="5A186656"/>
    <w:rsid w:val="5A203D1A"/>
    <w:rsid w:val="5A205295"/>
    <w:rsid w:val="5A251A20"/>
    <w:rsid w:val="5A2F221E"/>
    <w:rsid w:val="5A3F5D1C"/>
    <w:rsid w:val="5A410AC8"/>
    <w:rsid w:val="5A5669FA"/>
    <w:rsid w:val="5A7F02D5"/>
    <w:rsid w:val="5A7F3323"/>
    <w:rsid w:val="5A9168E5"/>
    <w:rsid w:val="5AB72F65"/>
    <w:rsid w:val="5AD40E79"/>
    <w:rsid w:val="5AD54E39"/>
    <w:rsid w:val="5AFE2CE0"/>
    <w:rsid w:val="5B2755DE"/>
    <w:rsid w:val="5B2F1BD1"/>
    <w:rsid w:val="5B43243E"/>
    <w:rsid w:val="5B445A1B"/>
    <w:rsid w:val="5B801E99"/>
    <w:rsid w:val="5B846B4C"/>
    <w:rsid w:val="5B8764AE"/>
    <w:rsid w:val="5B9356CB"/>
    <w:rsid w:val="5B984AF9"/>
    <w:rsid w:val="5BAF64DC"/>
    <w:rsid w:val="5BB4169B"/>
    <w:rsid w:val="5BB91BB4"/>
    <w:rsid w:val="5BBC5927"/>
    <w:rsid w:val="5BCD3B9F"/>
    <w:rsid w:val="5BE7277D"/>
    <w:rsid w:val="5BEC0E4B"/>
    <w:rsid w:val="5BF07946"/>
    <w:rsid w:val="5BFF64C0"/>
    <w:rsid w:val="5C005156"/>
    <w:rsid w:val="5C1F2D39"/>
    <w:rsid w:val="5C426F98"/>
    <w:rsid w:val="5C593BE2"/>
    <w:rsid w:val="5C746C1C"/>
    <w:rsid w:val="5C773121"/>
    <w:rsid w:val="5CC3211B"/>
    <w:rsid w:val="5CD80B50"/>
    <w:rsid w:val="5CD84FFE"/>
    <w:rsid w:val="5CE23517"/>
    <w:rsid w:val="5CEE17DB"/>
    <w:rsid w:val="5CF823D4"/>
    <w:rsid w:val="5D061846"/>
    <w:rsid w:val="5D1338E1"/>
    <w:rsid w:val="5D2714EF"/>
    <w:rsid w:val="5D2A15DA"/>
    <w:rsid w:val="5D2C636B"/>
    <w:rsid w:val="5D3937EF"/>
    <w:rsid w:val="5D430BEC"/>
    <w:rsid w:val="5D593C9E"/>
    <w:rsid w:val="5D6D722F"/>
    <w:rsid w:val="5D751A66"/>
    <w:rsid w:val="5D7E14C4"/>
    <w:rsid w:val="5D7E3D46"/>
    <w:rsid w:val="5D87769C"/>
    <w:rsid w:val="5D877E15"/>
    <w:rsid w:val="5D8F0423"/>
    <w:rsid w:val="5DA81D58"/>
    <w:rsid w:val="5DCD5BC7"/>
    <w:rsid w:val="5DD0375B"/>
    <w:rsid w:val="5DDE5651"/>
    <w:rsid w:val="5DE57176"/>
    <w:rsid w:val="5DFD1CB9"/>
    <w:rsid w:val="5E1C4E15"/>
    <w:rsid w:val="5E1D49C2"/>
    <w:rsid w:val="5E262CCF"/>
    <w:rsid w:val="5E4162F7"/>
    <w:rsid w:val="5E5231B7"/>
    <w:rsid w:val="5E6007F8"/>
    <w:rsid w:val="5E601C59"/>
    <w:rsid w:val="5E62015C"/>
    <w:rsid w:val="5E67355C"/>
    <w:rsid w:val="5E6B632B"/>
    <w:rsid w:val="5E6B7B67"/>
    <w:rsid w:val="5E861629"/>
    <w:rsid w:val="5E8855C7"/>
    <w:rsid w:val="5E922936"/>
    <w:rsid w:val="5EC049FD"/>
    <w:rsid w:val="5EC84DA5"/>
    <w:rsid w:val="5EDA5344"/>
    <w:rsid w:val="5F0266F7"/>
    <w:rsid w:val="5F0E5B21"/>
    <w:rsid w:val="5F26127E"/>
    <w:rsid w:val="5F2D4D96"/>
    <w:rsid w:val="5F2D75F2"/>
    <w:rsid w:val="5F3228CD"/>
    <w:rsid w:val="5F346C30"/>
    <w:rsid w:val="5F3B46FD"/>
    <w:rsid w:val="5F4F4554"/>
    <w:rsid w:val="5F5E7774"/>
    <w:rsid w:val="5F85721C"/>
    <w:rsid w:val="5F916BFA"/>
    <w:rsid w:val="5F9C5AC3"/>
    <w:rsid w:val="5FBF6040"/>
    <w:rsid w:val="5FEB49CC"/>
    <w:rsid w:val="5FEE572E"/>
    <w:rsid w:val="5FF336D2"/>
    <w:rsid w:val="5FFE3911"/>
    <w:rsid w:val="60133C51"/>
    <w:rsid w:val="60164E5C"/>
    <w:rsid w:val="602C1AA2"/>
    <w:rsid w:val="6064468D"/>
    <w:rsid w:val="60C24ECA"/>
    <w:rsid w:val="60C53248"/>
    <w:rsid w:val="60E54A1A"/>
    <w:rsid w:val="60F97509"/>
    <w:rsid w:val="61086C6C"/>
    <w:rsid w:val="610954ED"/>
    <w:rsid w:val="61105954"/>
    <w:rsid w:val="6110668C"/>
    <w:rsid w:val="61131850"/>
    <w:rsid w:val="612710F5"/>
    <w:rsid w:val="612B4DC4"/>
    <w:rsid w:val="61316DDB"/>
    <w:rsid w:val="614370EE"/>
    <w:rsid w:val="614E657B"/>
    <w:rsid w:val="617C0021"/>
    <w:rsid w:val="618E136D"/>
    <w:rsid w:val="61916513"/>
    <w:rsid w:val="61A35A97"/>
    <w:rsid w:val="61A871DD"/>
    <w:rsid w:val="61B756AA"/>
    <w:rsid w:val="61DA5F1D"/>
    <w:rsid w:val="61F27CBF"/>
    <w:rsid w:val="61F570B9"/>
    <w:rsid w:val="62251865"/>
    <w:rsid w:val="622B5E85"/>
    <w:rsid w:val="62395A8E"/>
    <w:rsid w:val="623A3068"/>
    <w:rsid w:val="624C08F2"/>
    <w:rsid w:val="625277CA"/>
    <w:rsid w:val="626900A3"/>
    <w:rsid w:val="62A5222E"/>
    <w:rsid w:val="62AF164E"/>
    <w:rsid w:val="62BD381A"/>
    <w:rsid w:val="62EA3A91"/>
    <w:rsid w:val="62EF277B"/>
    <w:rsid w:val="62F2723C"/>
    <w:rsid w:val="62F448F2"/>
    <w:rsid w:val="630E2CB2"/>
    <w:rsid w:val="63170EA2"/>
    <w:rsid w:val="634B2324"/>
    <w:rsid w:val="636B2124"/>
    <w:rsid w:val="637040BE"/>
    <w:rsid w:val="638A295E"/>
    <w:rsid w:val="63987668"/>
    <w:rsid w:val="63CA2732"/>
    <w:rsid w:val="63DF0868"/>
    <w:rsid w:val="63FE0957"/>
    <w:rsid w:val="64322506"/>
    <w:rsid w:val="645A393C"/>
    <w:rsid w:val="645B1C67"/>
    <w:rsid w:val="646D7406"/>
    <w:rsid w:val="647D2BD9"/>
    <w:rsid w:val="647D7F98"/>
    <w:rsid w:val="648E18E0"/>
    <w:rsid w:val="649777A9"/>
    <w:rsid w:val="64A61FC8"/>
    <w:rsid w:val="64A81D79"/>
    <w:rsid w:val="64BA1F43"/>
    <w:rsid w:val="64DC02D8"/>
    <w:rsid w:val="64E114A4"/>
    <w:rsid w:val="64E75479"/>
    <w:rsid w:val="650C38EB"/>
    <w:rsid w:val="6513273E"/>
    <w:rsid w:val="651F1AB3"/>
    <w:rsid w:val="652D7665"/>
    <w:rsid w:val="652E4AF7"/>
    <w:rsid w:val="653456E1"/>
    <w:rsid w:val="653F34F0"/>
    <w:rsid w:val="65441574"/>
    <w:rsid w:val="65455DD6"/>
    <w:rsid w:val="6557285B"/>
    <w:rsid w:val="65590F62"/>
    <w:rsid w:val="65934F41"/>
    <w:rsid w:val="65B84C90"/>
    <w:rsid w:val="65B97A7B"/>
    <w:rsid w:val="65BD40B4"/>
    <w:rsid w:val="65C06F6D"/>
    <w:rsid w:val="65C55927"/>
    <w:rsid w:val="65C86B87"/>
    <w:rsid w:val="65E42576"/>
    <w:rsid w:val="65F92AFE"/>
    <w:rsid w:val="66007621"/>
    <w:rsid w:val="663D014B"/>
    <w:rsid w:val="6650740D"/>
    <w:rsid w:val="665601DE"/>
    <w:rsid w:val="665A62C8"/>
    <w:rsid w:val="668E64A3"/>
    <w:rsid w:val="66A70090"/>
    <w:rsid w:val="66AC4120"/>
    <w:rsid w:val="66CD24D5"/>
    <w:rsid w:val="66FB2003"/>
    <w:rsid w:val="670615FF"/>
    <w:rsid w:val="67191DE2"/>
    <w:rsid w:val="6720558A"/>
    <w:rsid w:val="672467BE"/>
    <w:rsid w:val="672D2D3E"/>
    <w:rsid w:val="67350CDB"/>
    <w:rsid w:val="674532FC"/>
    <w:rsid w:val="67460A38"/>
    <w:rsid w:val="675C2A65"/>
    <w:rsid w:val="677C5D98"/>
    <w:rsid w:val="67903162"/>
    <w:rsid w:val="67946933"/>
    <w:rsid w:val="67A05366"/>
    <w:rsid w:val="67A4536C"/>
    <w:rsid w:val="67AC4735"/>
    <w:rsid w:val="67B00D93"/>
    <w:rsid w:val="67BC0E36"/>
    <w:rsid w:val="67C0684A"/>
    <w:rsid w:val="67DD3E34"/>
    <w:rsid w:val="67FD3982"/>
    <w:rsid w:val="68143997"/>
    <w:rsid w:val="682C2005"/>
    <w:rsid w:val="68320C40"/>
    <w:rsid w:val="687566B8"/>
    <w:rsid w:val="688B7E15"/>
    <w:rsid w:val="68A620EE"/>
    <w:rsid w:val="68C11EA3"/>
    <w:rsid w:val="68C30447"/>
    <w:rsid w:val="68FF6510"/>
    <w:rsid w:val="691463EF"/>
    <w:rsid w:val="691B34A7"/>
    <w:rsid w:val="695615BD"/>
    <w:rsid w:val="69895B21"/>
    <w:rsid w:val="69934794"/>
    <w:rsid w:val="69D33B83"/>
    <w:rsid w:val="6A13309D"/>
    <w:rsid w:val="6A1E6DBE"/>
    <w:rsid w:val="6A26379F"/>
    <w:rsid w:val="6A2D329F"/>
    <w:rsid w:val="6A2D58DD"/>
    <w:rsid w:val="6A34497D"/>
    <w:rsid w:val="6A466123"/>
    <w:rsid w:val="6A4B04FF"/>
    <w:rsid w:val="6A5D40A2"/>
    <w:rsid w:val="6A5F1C2E"/>
    <w:rsid w:val="6A6602A2"/>
    <w:rsid w:val="6A6C2FE6"/>
    <w:rsid w:val="6A9325E1"/>
    <w:rsid w:val="6AA12EE1"/>
    <w:rsid w:val="6AA43C9C"/>
    <w:rsid w:val="6AA94572"/>
    <w:rsid w:val="6AAE4F9B"/>
    <w:rsid w:val="6AB57C02"/>
    <w:rsid w:val="6ADF0A3E"/>
    <w:rsid w:val="6AF809FB"/>
    <w:rsid w:val="6AFF0923"/>
    <w:rsid w:val="6B0C03FD"/>
    <w:rsid w:val="6B0E5A01"/>
    <w:rsid w:val="6B250B66"/>
    <w:rsid w:val="6B2C2498"/>
    <w:rsid w:val="6B4328E9"/>
    <w:rsid w:val="6B4B1D2A"/>
    <w:rsid w:val="6B592DBF"/>
    <w:rsid w:val="6B5E0661"/>
    <w:rsid w:val="6B750ABF"/>
    <w:rsid w:val="6B970252"/>
    <w:rsid w:val="6BA269E1"/>
    <w:rsid w:val="6BBA0FA4"/>
    <w:rsid w:val="6BBC4442"/>
    <w:rsid w:val="6BC42472"/>
    <w:rsid w:val="6BE03CAA"/>
    <w:rsid w:val="6BE5125A"/>
    <w:rsid w:val="6C130BEC"/>
    <w:rsid w:val="6C22405B"/>
    <w:rsid w:val="6C2E3930"/>
    <w:rsid w:val="6C544E3F"/>
    <w:rsid w:val="6C7442A8"/>
    <w:rsid w:val="6CB148F2"/>
    <w:rsid w:val="6CC35DA3"/>
    <w:rsid w:val="6CF50876"/>
    <w:rsid w:val="6CF65200"/>
    <w:rsid w:val="6CFD60D2"/>
    <w:rsid w:val="6D0346B6"/>
    <w:rsid w:val="6D173B64"/>
    <w:rsid w:val="6D1D436D"/>
    <w:rsid w:val="6D2309D8"/>
    <w:rsid w:val="6D320F7F"/>
    <w:rsid w:val="6D486066"/>
    <w:rsid w:val="6D7D5782"/>
    <w:rsid w:val="6DA97FE8"/>
    <w:rsid w:val="6DAF6492"/>
    <w:rsid w:val="6DB1452F"/>
    <w:rsid w:val="6DB8641D"/>
    <w:rsid w:val="6DC00409"/>
    <w:rsid w:val="6DC07C08"/>
    <w:rsid w:val="6DC91C15"/>
    <w:rsid w:val="6DD56419"/>
    <w:rsid w:val="6DDD79F6"/>
    <w:rsid w:val="6DFB667D"/>
    <w:rsid w:val="6DFC3465"/>
    <w:rsid w:val="6E030CB3"/>
    <w:rsid w:val="6E176935"/>
    <w:rsid w:val="6E704D2C"/>
    <w:rsid w:val="6E9E6326"/>
    <w:rsid w:val="6EA95298"/>
    <w:rsid w:val="6EB5075B"/>
    <w:rsid w:val="6EBE4A6A"/>
    <w:rsid w:val="6ECE201A"/>
    <w:rsid w:val="6EFC2663"/>
    <w:rsid w:val="6F066B83"/>
    <w:rsid w:val="6F193F72"/>
    <w:rsid w:val="6F3362C4"/>
    <w:rsid w:val="6F473745"/>
    <w:rsid w:val="6F5A350D"/>
    <w:rsid w:val="6F704710"/>
    <w:rsid w:val="6F7619CB"/>
    <w:rsid w:val="6F913D52"/>
    <w:rsid w:val="6FA06C16"/>
    <w:rsid w:val="6FA44699"/>
    <w:rsid w:val="6FDA7B49"/>
    <w:rsid w:val="6FE70574"/>
    <w:rsid w:val="6FF818C4"/>
    <w:rsid w:val="70110D20"/>
    <w:rsid w:val="701C7E6C"/>
    <w:rsid w:val="70370428"/>
    <w:rsid w:val="704571B4"/>
    <w:rsid w:val="704F66AB"/>
    <w:rsid w:val="706D0A00"/>
    <w:rsid w:val="706E354F"/>
    <w:rsid w:val="70A2088F"/>
    <w:rsid w:val="70B31990"/>
    <w:rsid w:val="70BE22BB"/>
    <w:rsid w:val="70E0367B"/>
    <w:rsid w:val="70E21165"/>
    <w:rsid w:val="70F34077"/>
    <w:rsid w:val="70F445EC"/>
    <w:rsid w:val="710A0E7A"/>
    <w:rsid w:val="714E1EEF"/>
    <w:rsid w:val="715847BC"/>
    <w:rsid w:val="71767B87"/>
    <w:rsid w:val="718667A2"/>
    <w:rsid w:val="719B2FB0"/>
    <w:rsid w:val="71A96FFF"/>
    <w:rsid w:val="71AD40B1"/>
    <w:rsid w:val="71AF5C7D"/>
    <w:rsid w:val="71C76389"/>
    <w:rsid w:val="71E8600A"/>
    <w:rsid w:val="721F312A"/>
    <w:rsid w:val="722D256A"/>
    <w:rsid w:val="723379C4"/>
    <w:rsid w:val="72453800"/>
    <w:rsid w:val="724D4125"/>
    <w:rsid w:val="72771C08"/>
    <w:rsid w:val="728E2F1E"/>
    <w:rsid w:val="72D16AC8"/>
    <w:rsid w:val="72E040D2"/>
    <w:rsid w:val="7302175D"/>
    <w:rsid w:val="7306407B"/>
    <w:rsid w:val="7307234A"/>
    <w:rsid w:val="732D1C26"/>
    <w:rsid w:val="733A7273"/>
    <w:rsid w:val="73465833"/>
    <w:rsid w:val="73550DBD"/>
    <w:rsid w:val="73622A3C"/>
    <w:rsid w:val="736571B8"/>
    <w:rsid w:val="73765628"/>
    <w:rsid w:val="73D0342D"/>
    <w:rsid w:val="73D27EBE"/>
    <w:rsid w:val="73DB307B"/>
    <w:rsid w:val="73EF7D95"/>
    <w:rsid w:val="740C5FC7"/>
    <w:rsid w:val="74150086"/>
    <w:rsid w:val="74247195"/>
    <w:rsid w:val="742C0ECA"/>
    <w:rsid w:val="744F4A7E"/>
    <w:rsid w:val="7465182A"/>
    <w:rsid w:val="747B36E3"/>
    <w:rsid w:val="747D54DD"/>
    <w:rsid w:val="7486181E"/>
    <w:rsid w:val="748A1CB1"/>
    <w:rsid w:val="74E44096"/>
    <w:rsid w:val="74EA6E88"/>
    <w:rsid w:val="74EB16DA"/>
    <w:rsid w:val="74EE2B1D"/>
    <w:rsid w:val="7501174A"/>
    <w:rsid w:val="751542B5"/>
    <w:rsid w:val="75287F6C"/>
    <w:rsid w:val="75303D68"/>
    <w:rsid w:val="75364455"/>
    <w:rsid w:val="753D3F2B"/>
    <w:rsid w:val="75442A78"/>
    <w:rsid w:val="754A251B"/>
    <w:rsid w:val="754A7A59"/>
    <w:rsid w:val="757D0E7B"/>
    <w:rsid w:val="757E77CA"/>
    <w:rsid w:val="758374FB"/>
    <w:rsid w:val="75986E28"/>
    <w:rsid w:val="75A666DC"/>
    <w:rsid w:val="75A957CB"/>
    <w:rsid w:val="75EE44CC"/>
    <w:rsid w:val="75FA38FB"/>
    <w:rsid w:val="760A112C"/>
    <w:rsid w:val="764768E2"/>
    <w:rsid w:val="765B3907"/>
    <w:rsid w:val="76707016"/>
    <w:rsid w:val="76791CB6"/>
    <w:rsid w:val="76854A7E"/>
    <w:rsid w:val="76884178"/>
    <w:rsid w:val="768D19D5"/>
    <w:rsid w:val="768D20CC"/>
    <w:rsid w:val="76936711"/>
    <w:rsid w:val="76BD1939"/>
    <w:rsid w:val="76E53049"/>
    <w:rsid w:val="76EA41F8"/>
    <w:rsid w:val="76ED7AB8"/>
    <w:rsid w:val="770C3D7F"/>
    <w:rsid w:val="77195245"/>
    <w:rsid w:val="7723479A"/>
    <w:rsid w:val="773652BA"/>
    <w:rsid w:val="77451D65"/>
    <w:rsid w:val="77495621"/>
    <w:rsid w:val="774D7896"/>
    <w:rsid w:val="77516F44"/>
    <w:rsid w:val="77551C09"/>
    <w:rsid w:val="77753D32"/>
    <w:rsid w:val="779B1DE8"/>
    <w:rsid w:val="77B04A83"/>
    <w:rsid w:val="77B87444"/>
    <w:rsid w:val="77BF7DFC"/>
    <w:rsid w:val="780C09DD"/>
    <w:rsid w:val="78417500"/>
    <w:rsid w:val="787E044B"/>
    <w:rsid w:val="787F6DD2"/>
    <w:rsid w:val="788C47D8"/>
    <w:rsid w:val="789E125A"/>
    <w:rsid w:val="78A12A11"/>
    <w:rsid w:val="78B17B07"/>
    <w:rsid w:val="78B47152"/>
    <w:rsid w:val="78BE3171"/>
    <w:rsid w:val="78DB45D9"/>
    <w:rsid w:val="78DE1548"/>
    <w:rsid w:val="790F6597"/>
    <w:rsid w:val="79404A5D"/>
    <w:rsid w:val="795B5005"/>
    <w:rsid w:val="79601B4F"/>
    <w:rsid w:val="796E39F9"/>
    <w:rsid w:val="797B2A81"/>
    <w:rsid w:val="79894A6E"/>
    <w:rsid w:val="79995E87"/>
    <w:rsid w:val="79B46537"/>
    <w:rsid w:val="79B6544C"/>
    <w:rsid w:val="79CD4894"/>
    <w:rsid w:val="79FB5701"/>
    <w:rsid w:val="7A195037"/>
    <w:rsid w:val="7A1A39B4"/>
    <w:rsid w:val="7A390195"/>
    <w:rsid w:val="7A572D93"/>
    <w:rsid w:val="7A6F2149"/>
    <w:rsid w:val="7A79120A"/>
    <w:rsid w:val="7A7F03D1"/>
    <w:rsid w:val="7AA8724F"/>
    <w:rsid w:val="7AAC5144"/>
    <w:rsid w:val="7ABE635D"/>
    <w:rsid w:val="7AD37EB1"/>
    <w:rsid w:val="7AE20D92"/>
    <w:rsid w:val="7AF04995"/>
    <w:rsid w:val="7AFF0D7C"/>
    <w:rsid w:val="7B037B3F"/>
    <w:rsid w:val="7B0400B3"/>
    <w:rsid w:val="7B0831AE"/>
    <w:rsid w:val="7B0E2BD9"/>
    <w:rsid w:val="7B2B4EE4"/>
    <w:rsid w:val="7B3F12C0"/>
    <w:rsid w:val="7BA32842"/>
    <w:rsid w:val="7BB333E6"/>
    <w:rsid w:val="7BC40DCA"/>
    <w:rsid w:val="7BCB0F97"/>
    <w:rsid w:val="7BE270BF"/>
    <w:rsid w:val="7BE9565C"/>
    <w:rsid w:val="7BF857D4"/>
    <w:rsid w:val="7C0E201B"/>
    <w:rsid w:val="7C352A69"/>
    <w:rsid w:val="7C5A4DE7"/>
    <w:rsid w:val="7C6056C3"/>
    <w:rsid w:val="7C6636B0"/>
    <w:rsid w:val="7C8E1BC3"/>
    <w:rsid w:val="7C8F4DF7"/>
    <w:rsid w:val="7CC10021"/>
    <w:rsid w:val="7CD2349D"/>
    <w:rsid w:val="7CE91F05"/>
    <w:rsid w:val="7CEC1517"/>
    <w:rsid w:val="7D046F37"/>
    <w:rsid w:val="7D0F2F2A"/>
    <w:rsid w:val="7D1537C4"/>
    <w:rsid w:val="7D325F0B"/>
    <w:rsid w:val="7D3751BD"/>
    <w:rsid w:val="7D427AD4"/>
    <w:rsid w:val="7D5804A9"/>
    <w:rsid w:val="7D931507"/>
    <w:rsid w:val="7D9F41BB"/>
    <w:rsid w:val="7D9F6117"/>
    <w:rsid w:val="7DA235FE"/>
    <w:rsid w:val="7DA46073"/>
    <w:rsid w:val="7DB16041"/>
    <w:rsid w:val="7DBA26DE"/>
    <w:rsid w:val="7DBF3545"/>
    <w:rsid w:val="7DF24C68"/>
    <w:rsid w:val="7DF524C5"/>
    <w:rsid w:val="7E087E22"/>
    <w:rsid w:val="7E7E4C91"/>
    <w:rsid w:val="7E862516"/>
    <w:rsid w:val="7E8E5540"/>
    <w:rsid w:val="7E8F4979"/>
    <w:rsid w:val="7E960CA9"/>
    <w:rsid w:val="7E9C3765"/>
    <w:rsid w:val="7EB81754"/>
    <w:rsid w:val="7ED50142"/>
    <w:rsid w:val="7EDC4E14"/>
    <w:rsid w:val="7EF565F2"/>
    <w:rsid w:val="7F00789B"/>
    <w:rsid w:val="7F0B5D0F"/>
    <w:rsid w:val="7F130336"/>
    <w:rsid w:val="7F344DBF"/>
    <w:rsid w:val="7F3E1DAF"/>
    <w:rsid w:val="7F4C6D7A"/>
    <w:rsid w:val="7F5C10AF"/>
    <w:rsid w:val="7F5D5AB0"/>
    <w:rsid w:val="7F5E0D4D"/>
    <w:rsid w:val="7F614DE1"/>
    <w:rsid w:val="7F6A522E"/>
    <w:rsid w:val="7F786C5C"/>
    <w:rsid w:val="7F894FA8"/>
    <w:rsid w:val="7F9E669B"/>
    <w:rsid w:val="7FB21B9A"/>
    <w:rsid w:val="7FCF329D"/>
    <w:rsid w:val="7FD046A5"/>
    <w:rsid w:val="7FDA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99"/>
    <w:pPr>
      <w:spacing w:line="340" w:lineRule="exact"/>
      <w:ind w:right="-139" w:hanging="26" w:hangingChars="26"/>
    </w:pPr>
    <w:rPr>
      <w:rFonts w:ascii="华文中宋" w:hAnsi="华文中宋" w:eastAsia="华文中宋" w:cs="华文中宋"/>
      <w:sz w:val="24"/>
    </w:rPr>
  </w:style>
  <w:style w:type="paragraph" w:customStyle="1" w:styleId="3">
    <w:name w:val="Body Text Indent1"/>
    <w:basedOn w:val="1"/>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spacing w:beforeLines="0" w:afterLines="0"/>
      <w:jc w:val="left"/>
    </w:pPr>
    <w:rPr>
      <w:rFonts w:hint="eastAsia"/>
      <w:sz w:val="18"/>
    </w:rPr>
  </w:style>
  <w:style w:type="paragraph" w:styleId="5">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eastAsia"/>
      <w:sz w:val="18"/>
    </w:rPr>
  </w:style>
  <w:style w:type="paragraph" w:styleId="6">
    <w:name w:val="footnote text"/>
    <w:basedOn w:val="1"/>
    <w:unhideWhenUsed/>
    <w:qFormat/>
    <w:uiPriority w:val="99"/>
    <w:pPr>
      <w:snapToGrid w:val="0"/>
      <w:spacing w:beforeLines="0" w:afterLines="0"/>
      <w:jc w:val="left"/>
    </w:pPr>
    <w:rPr>
      <w:rFonts w:hint="eastAsia"/>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footnote reference"/>
    <w:basedOn w:val="9"/>
    <w:unhideWhenUsed/>
    <w:qFormat/>
    <w:uiPriority w:val="99"/>
    <w:rPr>
      <w:rFonts w:hint="default"/>
      <w:sz w:val="24"/>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2024-03-29T10:11:00Z</dcterms:created>
  <dc:creator>经常处陈雄</dc:creator>
  <cp:lastModifiedBy>经常处陈雄</cp:lastModifiedBy>
  <cp:lastPrinted>2024-04-25T08:45:00Z</cp:lastPrinted>
  <dcterms:modified xsi:type="dcterms:W3CDTF">2024-04-26T06:43:19Z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F925A84CCA7040C1A915A4FB187B7490</vt:lpwstr>
  </property>
</Properties>
</file>