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rPr>
          <w:rFonts w:hint="eastAsia" w:ascii="仿宋_GB2312" w:hAnsi="仿宋_GB2312" w:eastAsia="仿宋_GB2312"/>
          <w:color w:val="auto"/>
          <w:sz w:val="32"/>
          <w:u w:val="none" w:color="auto"/>
          <w:lang w:eastAsia="zh-CN"/>
        </w:rPr>
      </w:pPr>
      <w:r>
        <w:rPr>
          <w:rFonts w:hint="eastAsia" w:ascii="仿宋_GB2312" w:hAnsi="仿宋_GB2312" w:eastAsia="仿宋_GB2312"/>
          <w:color w:val="auto"/>
          <w:sz w:val="32"/>
          <w:u w:val="none" w:color="auto"/>
        </w:rPr>
        <w:t>附</w:t>
      </w:r>
      <w:r>
        <w:rPr>
          <w:rFonts w:hint="eastAsia" w:ascii="仿宋_GB2312" w:hAnsi="仿宋_GB2312" w:eastAsia="仿宋_GB2312"/>
          <w:color w:val="auto"/>
          <w:sz w:val="32"/>
          <w:u w:val="none" w:color="auto"/>
          <w:lang w:eastAsia="zh-CN"/>
        </w:rPr>
        <w:t>件</w:t>
      </w:r>
      <w:bookmarkStart w:id="0" w:name="_GoBack"/>
      <w:bookmarkEnd w:id="0"/>
      <w:r>
        <w:rPr>
          <w:rFonts w:hint="eastAsia" w:ascii="仿宋_GB2312" w:hAnsi="仿宋_GB2312" w:eastAsia="仿宋_GB2312"/>
          <w:color w:val="auto"/>
          <w:sz w:val="32"/>
          <w:u w:val="none" w:color="auto"/>
          <w:lang w:val="en-US" w:eastAsia="zh-CN"/>
        </w:rPr>
        <w:t>3</w:t>
      </w:r>
    </w:p>
    <w:p>
      <w:pPr>
        <w:spacing w:line="520" w:lineRule="exact"/>
        <w:jc w:val="center"/>
        <w:rPr>
          <w:rFonts w:hint="eastAsia" w:ascii="黑体" w:hAnsi="黑体" w:eastAsia="黑体"/>
          <w:b/>
          <w:color w:val="auto"/>
          <w:sz w:val="36"/>
        </w:rPr>
      </w:pPr>
      <w:r>
        <w:rPr>
          <w:rFonts w:hint="eastAsia" w:ascii="黑体" w:hAnsi="黑体" w:eastAsia="黑体"/>
          <w:b/>
          <w:color w:val="auto"/>
          <w:sz w:val="36"/>
        </w:rPr>
        <w:t>银行办理非金融企业外债签约（变更）</w:t>
      </w:r>
    </w:p>
    <w:p>
      <w:pPr>
        <w:spacing w:line="520" w:lineRule="exact"/>
        <w:jc w:val="center"/>
        <w:rPr>
          <w:rFonts w:hint="eastAsia" w:ascii="黑体" w:hAnsi="黑体" w:eastAsia="黑体"/>
          <w:b/>
          <w:color w:val="auto"/>
          <w:sz w:val="36"/>
        </w:rPr>
      </w:pPr>
      <w:r>
        <w:rPr>
          <w:rFonts w:hint="eastAsia" w:ascii="黑体" w:hAnsi="黑体" w:eastAsia="黑体"/>
          <w:b/>
          <w:color w:val="auto"/>
          <w:sz w:val="36"/>
        </w:rPr>
        <w:t>登记业务实施细则</w:t>
      </w:r>
    </w:p>
    <w:p>
      <w:pPr>
        <w:pStyle w:val="2"/>
        <w:spacing w:afterLines="0"/>
        <w:rPr>
          <w:rFonts w:hint="eastAsia"/>
          <w:color w:val="auto"/>
          <w:sz w:val="32"/>
        </w:rPr>
      </w:pPr>
    </w:p>
    <w:p>
      <w:pPr>
        <w:widowControl/>
        <w:ind w:firstLine="643" w:firstLineChars="200"/>
        <w:rPr>
          <w:rFonts w:hint="eastAsia" w:ascii="仿宋_GB2312" w:hAnsi="仿宋_GB2312" w:eastAsia="仿宋_GB2312"/>
          <w:color w:val="auto"/>
          <w:sz w:val="32"/>
        </w:rPr>
      </w:pPr>
      <w:r>
        <w:rPr>
          <w:rFonts w:hint="eastAsia" w:ascii="仿宋_GB2312" w:hAnsi="仿宋_GB2312" w:eastAsia="仿宋_GB2312"/>
          <w:b/>
          <w:color w:val="auto"/>
          <w:sz w:val="32"/>
        </w:rPr>
        <w:t>第一条</w:t>
      </w:r>
      <w:r>
        <w:rPr>
          <w:rFonts w:hint="eastAsia" w:ascii="仿宋_GB2312" w:hAnsi="仿宋_GB2312" w:eastAsia="仿宋_GB2312"/>
          <w:color w:val="auto"/>
          <w:sz w:val="32"/>
        </w:rPr>
        <w:t xml:space="preserve"> 为便利银行办理非金融企业外债签约（变更）登记，根据服务实体经济、有效防范风险的原则，制订本实施细则。</w:t>
      </w:r>
    </w:p>
    <w:p>
      <w:pPr>
        <w:widowControl/>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sz w:val="32"/>
        </w:rPr>
        <w:t>第二条</w:t>
      </w:r>
      <w:r>
        <w:rPr>
          <w:rFonts w:hint="eastAsia" w:ascii="仿宋_GB2312" w:hAnsi="仿宋_GB2312" w:eastAsia="仿宋_GB2312"/>
          <w:color w:val="auto"/>
          <w:sz w:val="32"/>
        </w:rPr>
        <w:t xml:space="preserve"> 本实施细则所指非金融企业是指注册在福建省（不含厦门，下同）</w:t>
      </w:r>
      <w:r>
        <w:rPr>
          <w:rFonts w:hint="eastAsia" w:ascii="仿宋_GB2312" w:hAnsi="仿宋_GB2312" w:eastAsia="仿宋_GB2312"/>
          <w:color w:val="auto"/>
          <w:kern w:val="0"/>
          <w:sz w:val="32"/>
        </w:rPr>
        <w:t>选择全口径跨境融资宏观审慎模式借用外债的非金融企业债务人（房地产企业、地方政府融资平台、融资租赁公司、融资担保公司、商业保理公司、地方资产管理公司、小额贷款公司、典当行除外），不含选择其他方式借用外债（包括“投注差”模式、跨境融资便利化试点政策）的非金融企业债务人。</w:t>
      </w:r>
    </w:p>
    <w:p>
      <w:pPr>
        <w:pStyle w:val="2"/>
        <w:numPr>
          <w:ilvl w:val="0"/>
          <w:numId w:val="0"/>
        </w:numPr>
        <w:spacing w:after="0" w:afterLines="0" w:line="240" w:lineRule="auto"/>
        <w:ind w:left="0" w:right="-142"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sz w:val="32"/>
        </w:rPr>
        <w:t>第三条</w:t>
      </w:r>
      <w:r>
        <w:rPr>
          <w:rFonts w:hint="eastAsia" w:ascii="仿宋_GB2312" w:hAnsi="仿宋_GB2312" w:eastAsia="仿宋_GB2312"/>
          <w:color w:val="auto"/>
          <w:sz w:val="32"/>
        </w:rPr>
        <w:t xml:space="preserve"> </w:t>
      </w:r>
      <w:r>
        <w:rPr>
          <w:rFonts w:hint="eastAsia" w:ascii="仿宋_GB2312" w:hAnsi="仿宋_GB2312" w:eastAsia="仿宋_GB2312"/>
          <w:color w:val="auto"/>
          <w:kern w:val="0"/>
          <w:sz w:val="32"/>
        </w:rPr>
        <w:t>非金融企业债务人跨境融资风险加权余额不得超过其跨境融资风险加权余额上限。跨境融资风险加权余额与跨境融资风险加权余额上限，按照《中国人民银行关于全口径跨境融资宏观审慎管理有关事宜的通知》（银发〔2017〕9号）规定的计算公式计算，宏观审慎调节参数等指标按现行文件规定执行。</w:t>
      </w:r>
    </w:p>
    <w:p>
      <w:pPr>
        <w:pStyle w:val="2"/>
        <w:numPr>
          <w:ilvl w:val="0"/>
          <w:numId w:val="0"/>
        </w:numPr>
        <w:spacing w:after="0" w:afterLines="0" w:line="240" w:lineRule="auto"/>
        <w:ind w:left="0" w:right="-142" w:firstLine="643" w:firstLineChars="200"/>
        <w:rPr>
          <w:rFonts w:hint="eastAsia"/>
          <w:color w:val="auto"/>
          <w:sz w:val="32"/>
        </w:rPr>
      </w:pPr>
      <w:r>
        <w:rPr>
          <w:rFonts w:hint="eastAsia" w:ascii="仿宋_GB2312" w:hAnsi="仿宋_GB2312" w:eastAsia="仿宋_GB2312"/>
          <w:b/>
          <w:color w:val="auto"/>
          <w:kern w:val="0"/>
          <w:sz w:val="32"/>
        </w:rPr>
        <w:t>第四条</w:t>
      </w:r>
      <w:r>
        <w:rPr>
          <w:rFonts w:hint="eastAsia" w:ascii="仿宋_GB2312" w:hAnsi="仿宋_GB2312" w:eastAsia="仿宋_GB2312"/>
          <w:color w:val="auto"/>
          <w:kern w:val="0"/>
          <w:sz w:val="32"/>
        </w:rPr>
        <w:t xml:space="preserve"> 注册在福建省内的</w:t>
      </w:r>
      <w:r>
        <w:rPr>
          <w:rFonts w:hint="eastAsia" w:ascii="仿宋_GB2312" w:hAnsi="仿宋_GB2312" w:eastAsia="仿宋_GB2312"/>
          <w:color w:val="auto"/>
          <w:sz w:val="32"/>
        </w:rPr>
        <w:t>非金融企业债务人可</w:t>
      </w:r>
      <w:r>
        <w:rPr>
          <w:rFonts w:hint="eastAsia" w:ascii="仿宋_GB2312" w:hAnsi="仿宋_GB2312" w:eastAsia="仿宋_GB2312"/>
          <w:color w:val="auto"/>
          <w:kern w:val="0"/>
          <w:sz w:val="32"/>
        </w:rPr>
        <w:t>在外债提款前持以下材料到福建省分局辖内银行办理外债签约（变更）登记手续：</w:t>
      </w:r>
    </w:p>
    <w:p>
      <w:pPr>
        <w:widowControl/>
        <w:tabs>
          <w:tab w:val="left" w:pos="411"/>
        </w:tabs>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lang w:eastAsia="zh-CN"/>
        </w:rPr>
        <w:t>（一）</w:t>
      </w:r>
      <w:r>
        <w:rPr>
          <w:rFonts w:hint="eastAsia" w:ascii="仿宋_GB2312" w:hAnsi="仿宋_GB2312" w:eastAsia="仿宋_GB2312"/>
          <w:color w:val="auto"/>
          <w:kern w:val="0"/>
          <w:sz w:val="32"/>
        </w:rPr>
        <w:t>《非金融企业外债登记申请表（宏观审慎模式）》（必要时附书面说明）。</w:t>
      </w:r>
    </w:p>
    <w:p>
      <w:pPr>
        <w:widowControl/>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lang w:eastAsia="zh-CN"/>
        </w:rPr>
        <w:t>（二）</w:t>
      </w:r>
      <w:r>
        <w:rPr>
          <w:rFonts w:hint="eastAsia" w:ascii="仿宋_GB2312" w:hAnsi="仿宋_GB2312" w:eastAsia="仿宋_GB2312"/>
          <w:color w:val="auto"/>
          <w:kern w:val="0"/>
          <w:sz w:val="32"/>
        </w:rPr>
        <w:t>加盖公章的外债合同主要条款复印件（境外发行债券的，需提供认购协议或全球债券证书等证明材料）。</w:t>
      </w:r>
    </w:p>
    <w:p>
      <w:pPr>
        <w:widowControl/>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lang w:eastAsia="zh-CN"/>
        </w:rPr>
        <w:t>（三）</w:t>
      </w:r>
      <w:r>
        <w:rPr>
          <w:rFonts w:hint="eastAsia" w:ascii="仿宋_GB2312" w:hAnsi="仿宋_GB2312" w:eastAsia="仿宋_GB2312"/>
          <w:color w:val="auto"/>
          <w:kern w:val="0"/>
          <w:sz w:val="32"/>
        </w:rPr>
        <w:t xml:space="preserve">上年度或最近一期经审计的财务报告。 </w:t>
      </w:r>
    </w:p>
    <w:p>
      <w:pPr>
        <w:widowControl/>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lang w:eastAsia="zh-CN"/>
        </w:rPr>
        <w:t>（四）</w:t>
      </w:r>
      <w:r>
        <w:rPr>
          <w:rFonts w:hint="eastAsia" w:ascii="仿宋_GB2312" w:hAnsi="仿宋_GB2312" w:eastAsia="仿宋_GB2312"/>
          <w:color w:val="auto"/>
          <w:kern w:val="0"/>
          <w:sz w:val="32"/>
        </w:rPr>
        <w:t>因当事各方、币种、金额、期限、利率、借款用途和适用法律等外债合同主要条款发生变化，需办理外债变更登记的，还需提供原《境内机构外债签约情况表》，并出示相关业务登记凭证。</w:t>
      </w:r>
    </w:p>
    <w:p>
      <w:pPr>
        <w:widowControl/>
        <w:numPr>
          <w:ilvl w:val="0"/>
          <w:numId w:val="0"/>
        </w:num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kern w:val="0"/>
          <w:sz w:val="32"/>
        </w:rPr>
        <w:t>第五条</w:t>
      </w:r>
      <w:r>
        <w:rPr>
          <w:rFonts w:hint="eastAsia" w:ascii="仿宋_GB2312" w:hAnsi="仿宋_GB2312" w:eastAsia="仿宋_GB2312"/>
          <w:color w:val="auto"/>
          <w:kern w:val="0"/>
          <w:sz w:val="32"/>
        </w:rPr>
        <w:t xml:space="preserve"> 银行办理外债登记前，应勤勉尽责，遵循“了解客户”原则，审核非金融企业债务人主体资格，不得为房地产企业、地方政府融资平台等办理外债登记。同时核实非金融企业债务人实际情况、申请信息与系统信息是否一致，不一致的需核实原因，待相关信息一致后再办理新的登记业务。</w:t>
      </w:r>
    </w:p>
    <w:p>
      <w:pPr>
        <w:widowControl/>
        <w:numPr>
          <w:ilvl w:val="0"/>
          <w:numId w:val="0"/>
        </w:numPr>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rPr>
        <w:t>银行为非金融企业债务人办理变更登记涉及提前还款的，须重新区分期限风险转换因子计算风险加权余额。</w:t>
      </w:r>
    </w:p>
    <w:p>
      <w:pPr>
        <w:numPr>
          <w:ilvl w:val="0"/>
          <w:numId w:val="0"/>
        </w:num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kern w:val="0"/>
          <w:sz w:val="32"/>
        </w:rPr>
        <w:t>第六条</w:t>
      </w:r>
      <w:r>
        <w:rPr>
          <w:rFonts w:hint="eastAsia" w:ascii="仿宋_GB2312" w:hAnsi="仿宋_GB2312" w:eastAsia="仿宋_GB2312"/>
          <w:color w:val="auto"/>
          <w:kern w:val="0"/>
          <w:sz w:val="32"/>
        </w:rPr>
        <w:t xml:space="preserve"> 银行应通过资本项目信息系统办理外债签约（变更）登记，打印《境内机构外债签约情况表》和《业务登记凭证》并加盖银行业务印章后交给申请人。</w:t>
      </w:r>
    </w:p>
    <w:p>
      <w:pPr>
        <w:numPr>
          <w:ilvl w:val="0"/>
          <w:numId w:val="0"/>
        </w:num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kern w:val="0"/>
          <w:sz w:val="32"/>
        </w:rPr>
        <w:t>第七条</w:t>
      </w:r>
      <w:r>
        <w:rPr>
          <w:rFonts w:hint="eastAsia" w:ascii="仿宋_GB2312" w:hAnsi="仿宋_GB2312" w:eastAsia="仿宋_GB2312"/>
          <w:color w:val="auto"/>
          <w:kern w:val="0"/>
          <w:sz w:val="32"/>
        </w:rPr>
        <w:t xml:space="preserve"> 对于境内非金融企业债务人向离岸银行借用的离岸贷款，视同外债管理，占用境内借款人的跨境融资风险加权余额上限。</w:t>
      </w:r>
    </w:p>
    <w:p>
      <w:pPr>
        <w:numPr>
          <w:ilvl w:val="0"/>
          <w:numId w:val="0"/>
        </w:numPr>
        <w:ind w:firstLine="640" w:firstLineChars="200"/>
        <w:rPr>
          <w:rFonts w:hint="default" w:ascii="宋体"/>
          <w:sz w:val="21"/>
        </w:rPr>
      </w:pPr>
      <w:r>
        <w:rPr>
          <w:rFonts w:hint="eastAsia" w:ascii="仿宋_GB2312" w:hAnsi="仿宋_GB2312" w:eastAsia="仿宋_GB2312"/>
          <w:color w:val="auto"/>
          <w:kern w:val="0"/>
          <w:sz w:val="32"/>
        </w:rPr>
        <w:t>非金融企业债务人向离岸银行借用离岸贷款的，债务人在所在地银行办理外债签约登记后，仍需在外债余额发生变动起15个工作日内到所在地外汇局办理非资金划转类提款/还本付息备案。</w:t>
      </w:r>
    </w:p>
    <w:p>
      <w:pPr>
        <w:numPr>
          <w:ilvl w:val="0"/>
          <w:numId w:val="0"/>
        </w:num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kern w:val="0"/>
          <w:sz w:val="32"/>
        </w:rPr>
        <w:t>第八条</w:t>
      </w:r>
      <w:r>
        <w:rPr>
          <w:rFonts w:hint="eastAsia" w:ascii="仿宋_GB2312" w:hAnsi="仿宋_GB2312" w:eastAsia="仿宋_GB2312"/>
          <w:color w:val="auto"/>
          <w:kern w:val="0"/>
          <w:sz w:val="32"/>
        </w:rPr>
        <w:t xml:space="preserve"> 除另有规定外，境内非金融企业涉及真实跨境贸易产生的贸易信贷（包括应付和预收）和从境外金融机构获取的贸易融资，不纳入跨境融资风险加权余额计算，无需按照本实施细则办理外债登记。</w:t>
      </w:r>
    </w:p>
    <w:p>
      <w:p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kern w:val="0"/>
          <w:sz w:val="32"/>
        </w:rPr>
        <w:t>第九条</w:t>
      </w:r>
      <w:r>
        <w:rPr>
          <w:rFonts w:hint="eastAsia" w:ascii="仿宋_GB2312" w:hAnsi="仿宋_GB2312" w:eastAsia="仿宋_GB2312"/>
          <w:color w:val="auto"/>
          <w:kern w:val="0"/>
          <w:sz w:val="32"/>
        </w:rPr>
        <w:t xml:space="preserve"> 非金融企业债务人借用外债，原则上应将所涉资金调回境内使用。</w:t>
      </w:r>
    </w:p>
    <w:p>
      <w:p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sz w:val="32"/>
        </w:rPr>
        <w:t>第十条</w:t>
      </w:r>
      <w:r>
        <w:rPr>
          <w:rFonts w:hint="eastAsia" w:ascii="仿宋_GB2312" w:hAnsi="仿宋_GB2312" w:eastAsia="仿宋_GB2312"/>
          <w:color w:val="auto"/>
          <w:sz w:val="32"/>
        </w:rPr>
        <w:t xml:space="preserve"> </w:t>
      </w:r>
      <w:r>
        <w:rPr>
          <w:rFonts w:hint="eastAsia" w:ascii="仿宋_GB2312" w:hAnsi="仿宋_GB2312" w:eastAsia="仿宋_GB2312"/>
          <w:color w:val="auto"/>
          <w:kern w:val="0"/>
          <w:sz w:val="32"/>
        </w:rPr>
        <w:t>非金融企业债务人可自行与境内银行等金融机构或境外债权银行签订以锁定外债还本付息风险为目的，与汇率或利率相关的保值交易合同，并办理交割。签订保值交易合同、办理保值交易合同交割时，非金融企业债务人的交易对手方、办理交割款项汇出的银行等，应当确认该笔交易具备合法、清晰的实盘背景。</w:t>
      </w:r>
    </w:p>
    <w:p>
      <w:pPr>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rPr>
        <w:t>（</w:t>
      </w:r>
      <w:r>
        <w:rPr>
          <w:rFonts w:hint="eastAsia" w:ascii="仿宋_GB2312" w:hAnsi="仿宋_GB2312" w:eastAsia="仿宋_GB2312"/>
          <w:color w:val="auto"/>
          <w:kern w:val="0"/>
          <w:sz w:val="32"/>
          <w:lang w:eastAsia="zh-CN"/>
        </w:rPr>
        <w:t>一</w:t>
      </w:r>
      <w:r>
        <w:rPr>
          <w:rFonts w:hint="eastAsia" w:ascii="仿宋_GB2312" w:hAnsi="仿宋_GB2312" w:eastAsia="仿宋_GB2312"/>
          <w:color w:val="auto"/>
          <w:kern w:val="0"/>
          <w:sz w:val="32"/>
        </w:rPr>
        <w:t>）非金融企业债务人获得的保值交易外汇收入，可直接到银行办理结汇或存入外债专用账户保留（国际收支申报时，无需填写相应外债业务编号）。</w:t>
      </w:r>
    </w:p>
    <w:p>
      <w:pPr>
        <w:ind w:firstLine="640" w:firstLineChars="200"/>
        <w:rPr>
          <w:rFonts w:hint="eastAsia" w:ascii="仿宋_GB2312" w:hAnsi="仿宋_GB2312" w:eastAsia="仿宋_GB2312"/>
          <w:color w:val="auto"/>
          <w:kern w:val="0"/>
          <w:sz w:val="32"/>
        </w:rPr>
      </w:pPr>
      <w:r>
        <w:rPr>
          <w:rFonts w:hint="eastAsia" w:ascii="仿宋_GB2312" w:hAnsi="仿宋_GB2312" w:eastAsia="仿宋_GB2312"/>
          <w:color w:val="auto"/>
          <w:kern w:val="0"/>
          <w:sz w:val="32"/>
        </w:rPr>
        <w:t>（</w:t>
      </w:r>
      <w:r>
        <w:rPr>
          <w:rFonts w:hint="eastAsia" w:ascii="仿宋_GB2312" w:hAnsi="仿宋_GB2312" w:eastAsia="仿宋_GB2312"/>
          <w:color w:val="auto"/>
          <w:kern w:val="0"/>
          <w:sz w:val="32"/>
          <w:lang w:eastAsia="zh-CN"/>
        </w:rPr>
        <w:t>二</w:t>
      </w:r>
      <w:r>
        <w:rPr>
          <w:rFonts w:hint="eastAsia" w:ascii="仿宋_GB2312" w:hAnsi="仿宋_GB2312" w:eastAsia="仿宋_GB2312"/>
          <w:color w:val="auto"/>
          <w:kern w:val="0"/>
          <w:sz w:val="32"/>
        </w:rPr>
        <w:t>）非金融企业债务人可直接到银行购汇或使用自有外汇办理交割。</w:t>
      </w:r>
    </w:p>
    <w:p>
      <w:pPr>
        <w:ind w:firstLine="643" w:firstLineChars="200"/>
        <w:rPr>
          <w:rFonts w:hint="eastAsia" w:ascii="仿宋_GB2312" w:hAnsi="仿宋_GB2312" w:eastAsia="仿宋_GB2312"/>
          <w:color w:val="auto"/>
          <w:kern w:val="0"/>
          <w:sz w:val="32"/>
        </w:rPr>
      </w:pPr>
      <w:r>
        <w:rPr>
          <w:rFonts w:hint="eastAsia" w:ascii="仿宋_GB2312" w:hAnsi="仿宋_GB2312" w:eastAsia="仿宋_GB2312"/>
          <w:b/>
          <w:color w:val="auto"/>
          <w:kern w:val="0"/>
          <w:sz w:val="32"/>
        </w:rPr>
        <w:t>第十一条</w:t>
      </w:r>
      <w:r>
        <w:rPr>
          <w:rFonts w:hint="eastAsia" w:ascii="仿宋_GB2312" w:hAnsi="仿宋_GB2312" w:eastAsia="仿宋_GB2312"/>
          <w:color w:val="auto"/>
          <w:kern w:val="0"/>
          <w:sz w:val="32"/>
        </w:rPr>
        <w:t xml:space="preserve"> 非金融企业债务人购汇偿还外债，应遵循实需原则。</w:t>
      </w:r>
    </w:p>
    <w:p>
      <w:pPr>
        <w:ind w:firstLine="643" w:firstLineChars="200"/>
        <w:rPr>
          <w:rFonts w:hint="eastAsia" w:eastAsia="仿宋_GB2312"/>
          <w:color w:val="auto"/>
          <w:sz w:val="32"/>
        </w:rPr>
      </w:pPr>
      <w:r>
        <w:rPr>
          <w:rFonts w:hint="eastAsia" w:ascii="仿宋_GB2312" w:hAnsi="仿宋_GB2312" w:eastAsia="仿宋_GB2312"/>
          <w:b/>
          <w:color w:val="auto"/>
          <w:kern w:val="0"/>
          <w:sz w:val="32"/>
        </w:rPr>
        <w:t>第十二条</w:t>
      </w:r>
      <w:r>
        <w:rPr>
          <w:rFonts w:hint="eastAsia" w:ascii="仿宋_GB2312" w:hAnsi="仿宋_GB2312" w:eastAsia="仿宋_GB2312"/>
          <w:color w:val="auto"/>
          <w:kern w:val="0"/>
          <w:sz w:val="32"/>
        </w:rPr>
        <w:t xml:space="preserve"> 外汇局负责对辖内银行办理的外债签约（变更）登记进行统计监测和业务核查。如有疑问或发生</w:t>
      </w:r>
      <w:r>
        <w:rPr>
          <w:rFonts w:hint="eastAsia" w:eastAsia="仿宋_GB2312"/>
          <w:color w:val="auto"/>
          <w:sz w:val="32"/>
        </w:rPr>
        <w:t>重大事项和异常情况的，银行应及时向外汇局报告。</w:t>
      </w:r>
    </w:p>
    <w:p>
      <w:pPr>
        <w:spacing w:beforeLines="0" w:afterLines="0"/>
        <w:ind w:firstLine="643" w:firstLineChars="200"/>
        <w:rPr>
          <w:rFonts w:hint="eastAsia" w:ascii="仿宋_GB2312" w:hAnsi="仿宋_GB2312" w:eastAsia="仿宋_GB2312"/>
          <w:sz w:val="32"/>
        </w:rPr>
      </w:pPr>
      <w:r>
        <w:rPr>
          <w:rFonts w:hint="eastAsia" w:ascii="仿宋_GB2312" w:hAnsi="仿宋_GB2312" w:eastAsia="仿宋_GB2312"/>
          <w:b/>
          <w:sz w:val="32"/>
        </w:rPr>
        <w:t>第十</w:t>
      </w:r>
      <w:r>
        <w:rPr>
          <w:rFonts w:hint="eastAsia" w:ascii="仿宋_GB2312" w:hAnsi="仿宋_GB2312" w:eastAsia="仿宋_GB2312"/>
          <w:b/>
          <w:sz w:val="32"/>
          <w:lang w:eastAsia="zh-CN"/>
        </w:rPr>
        <w:t>三</w:t>
      </w:r>
      <w:r>
        <w:rPr>
          <w:rFonts w:hint="eastAsia" w:ascii="仿宋_GB2312" w:hAnsi="仿宋_GB2312" w:eastAsia="仿宋_GB2312"/>
          <w:b/>
          <w:sz w:val="32"/>
        </w:rPr>
        <w:t xml:space="preserve">条  </w:t>
      </w:r>
      <w:r>
        <w:rPr>
          <w:rFonts w:hint="eastAsia" w:ascii="仿宋_GB2312" w:hAnsi="仿宋_GB2312" w:eastAsia="仿宋_GB2312"/>
          <w:sz w:val="32"/>
        </w:rPr>
        <w:t>本实施细则自发布之日起实施，由福建省分局负责解释。</w:t>
      </w:r>
    </w:p>
    <w:p>
      <w:pPr>
        <w:pStyle w:val="2"/>
        <w:rPr>
          <w:rFonts w:hint="eastAsia"/>
        </w:rPr>
      </w:pPr>
    </w:p>
    <w:p>
      <w:pPr>
        <w:ind w:firstLine="640" w:firstLineChars="200"/>
        <w:rPr>
          <w:rFonts w:hint="default" w:ascii="Arial" w:hAnsi="Arial" w:eastAsia="仿宋_GB2312"/>
          <w:color w:val="auto"/>
          <w:kern w:val="0"/>
          <w:sz w:val="32"/>
        </w:rPr>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pPr>
    </w:p>
    <w:p>
      <w:pPr>
        <w:widowControl/>
        <w:jc w:val="left"/>
        <w:rPr>
          <w:rFonts w:hint="default" w:ascii="宋体" w:hAnsi="宋体"/>
          <w:b/>
          <w:sz w:val="28"/>
        </w:rPr>
      </w:pPr>
      <w:r>
        <w:rPr>
          <w:rFonts w:hint="default" w:ascii="宋体"/>
          <w:color w:val="auto"/>
          <w:kern w:val="0"/>
          <w:sz w:val="28"/>
        </w:rPr>
        <w:t>附表</w:t>
      </w:r>
    </w:p>
    <w:p>
      <w:pPr>
        <w:widowControl/>
        <w:snapToGrid w:val="0"/>
        <w:jc w:val="center"/>
        <w:rPr>
          <w:rFonts w:hint="default" w:ascii="宋体" w:hAnsi="宋体"/>
          <w:b/>
          <w:sz w:val="32"/>
        </w:rPr>
      </w:pPr>
      <w:r>
        <w:rPr>
          <w:rFonts w:hint="default" w:ascii="宋体" w:hAnsi="宋体"/>
          <w:b/>
          <w:sz w:val="32"/>
        </w:rPr>
        <w:t>非金融企业外债登记申请表</w:t>
      </w:r>
    </w:p>
    <w:p>
      <w:pPr>
        <w:widowControl/>
        <w:snapToGrid w:val="0"/>
        <w:jc w:val="center"/>
        <w:rPr>
          <w:rFonts w:hint="default" w:ascii="宋体" w:hAnsi="宋体"/>
          <w:b/>
          <w:kern w:val="0"/>
          <w:sz w:val="36"/>
        </w:rPr>
      </w:pPr>
      <w:r>
        <w:rPr>
          <w:rFonts w:hint="default" w:ascii="宋体" w:hAnsi="宋体"/>
          <w:b/>
          <w:sz w:val="32"/>
        </w:rPr>
        <w:t>（宏观审慎模式）</w:t>
      </w:r>
    </w:p>
    <w:p>
      <w:pPr>
        <w:ind w:firstLine="6195" w:firstLineChars="2950"/>
        <w:rPr>
          <w:rFonts w:hint="default" w:ascii="宋体" w:hAnsi="宋体"/>
          <w:sz w:val="21"/>
        </w:rPr>
      </w:pPr>
    </w:p>
    <w:tbl>
      <w:tblPr>
        <w:tblStyle w:val="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108"/>
        <w:gridCol w:w="28"/>
        <w:gridCol w:w="10"/>
        <w:gridCol w:w="410"/>
        <w:gridCol w:w="948"/>
        <w:gridCol w:w="629"/>
        <w:gridCol w:w="58"/>
        <w:gridCol w:w="75"/>
        <w:gridCol w:w="15"/>
        <w:gridCol w:w="15"/>
        <w:gridCol w:w="100"/>
        <w:gridCol w:w="948"/>
        <w:gridCol w:w="619"/>
        <w:gridCol w:w="13"/>
        <w:gridCol w:w="11"/>
        <w:gridCol w:w="65"/>
        <w:gridCol w:w="25"/>
        <w:gridCol w:w="900"/>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b/>
                <w:sz w:val="24"/>
              </w:rPr>
            </w:pPr>
            <w:r>
              <w:rPr>
                <w:rFonts w:hint="default" w:ascii="宋体" w:hAnsi="宋体"/>
                <w:b/>
                <w:sz w:val="24"/>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外债编号（变更登记时填写）：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b/>
                <w:sz w:val="24"/>
              </w:rPr>
            </w:pPr>
            <w:r>
              <w:rPr>
                <w:rFonts w:hint="default" w:ascii="宋体" w:hAnsi="宋体"/>
                <w:b/>
                <w:sz w:val="24"/>
              </w:rPr>
              <w:t>债务人基本信息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trPr>
        <w:tc>
          <w:tcPr>
            <w:tcW w:w="18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统一社会信用代码</w:t>
            </w:r>
          </w:p>
        </w:tc>
        <w:tc>
          <w:tcPr>
            <w:tcW w:w="663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18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债务人名称</w:t>
            </w:r>
          </w:p>
        </w:tc>
        <w:tc>
          <w:tcPr>
            <w:tcW w:w="19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c>
          <w:tcPr>
            <w:tcW w:w="18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z w:val="24"/>
              </w:rPr>
              <w:t>债务人类型</w:t>
            </w:r>
          </w:p>
        </w:tc>
        <w:tc>
          <w:tcPr>
            <w:tcW w:w="278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left"/>
              <w:outlineLvl w:val="0"/>
              <w:rPr>
                <w:rFonts w:hint="default" w:ascii="宋体" w:hAnsi="宋体"/>
                <w:sz w:val="24"/>
              </w:rPr>
            </w:pPr>
            <w:r>
              <w:rPr>
                <w:rFonts w:hint="default" w:ascii="宋体" w:hAnsi="宋体"/>
                <w:b/>
                <w:sz w:val="24"/>
              </w:rPr>
              <w:t>债权人基本信息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18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r>
              <w:rPr>
                <w:rFonts w:hint="default" w:ascii="宋体" w:hAnsi="宋体"/>
                <w:sz w:val="24"/>
              </w:rPr>
              <w:t>债权人名称</w:t>
            </w:r>
          </w:p>
        </w:tc>
        <w:tc>
          <w:tcPr>
            <w:tcW w:w="205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78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r>
              <w:rPr>
                <w:rFonts w:hint="default" w:ascii="宋体" w:hAnsi="宋体"/>
                <w:sz w:val="24"/>
              </w:rPr>
              <w:t>债权人类型</w:t>
            </w:r>
          </w:p>
        </w:tc>
        <w:tc>
          <w:tcPr>
            <w:tcW w:w="27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18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债权人总部所在国家（地区）</w:t>
            </w:r>
          </w:p>
        </w:tc>
        <w:tc>
          <w:tcPr>
            <w:tcW w:w="2055" w:type="dxa"/>
            <w:gridSpan w:val="5"/>
            <w:tcBorders>
              <w:top w:val="single" w:color="000000" w:sz="4" w:space="0"/>
              <w:left w:val="single" w:color="000000" w:sz="4" w:space="0"/>
              <w:bottom w:val="single" w:color="000000" w:sz="4" w:space="0"/>
              <w:right w:val="single" w:color="auto"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785" w:type="dxa"/>
            <w:gridSpan w:val="7"/>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keepLines/>
              <w:spacing w:line="320" w:lineRule="exact"/>
              <w:outlineLvl w:val="0"/>
              <w:rPr>
                <w:rFonts w:hint="default" w:ascii="宋体" w:hAnsi="宋体"/>
                <w:sz w:val="24"/>
              </w:rPr>
            </w:pPr>
            <w:r>
              <w:rPr>
                <w:rFonts w:hint="default" w:ascii="宋体" w:hAnsi="宋体"/>
                <w:sz w:val="24"/>
              </w:rPr>
              <w:t>债权人经营地所在国家（地区）</w:t>
            </w:r>
          </w:p>
        </w:tc>
        <w:tc>
          <w:tcPr>
            <w:tcW w:w="2795" w:type="dxa"/>
            <w:gridSpan w:val="5"/>
            <w:tcBorders>
              <w:top w:val="single" w:color="000000" w:sz="4" w:space="0"/>
              <w:left w:val="single" w:color="auto"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rPr>
                <w:rFonts w:hint="default" w:ascii="宋体" w:hAnsi="宋体"/>
                <w:b/>
                <w:sz w:val="24"/>
              </w:rPr>
            </w:pPr>
            <w:r>
              <w:rPr>
                <w:rFonts w:hint="default" w:ascii="宋体" w:hAnsi="宋体"/>
                <w:b/>
                <w:sz w:val="24"/>
              </w:rPr>
              <w:t>二、本笔跨境融资信息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签约币种</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p>
        </w:tc>
        <w:tc>
          <w:tcPr>
            <w:tcW w:w="1697" w:type="dxa"/>
            <w:gridSpan w:val="5"/>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本笔跨境融资签约额</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债务类型</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p>
        </w:tc>
        <w:tc>
          <w:tcPr>
            <w:tcW w:w="1697" w:type="dxa"/>
            <w:gridSpan w:val="5"/>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签约日</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起息日</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p>
        </w:tc>
        <w:tc>
          <w:tcPr>
            <w:tcW w:w="1697" w:type="dxa"/>
            <w:gridSpan w:val="5"/>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到期日</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本笔跨境融资年利率</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p>
        </w:tc>
        <w:tc>
          <w:tcPr>
            <w:tcW w:w="1697" w:type="dxa"/>
            <w:gridSpan w:val="5"/>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是否浮动利率</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是否循环类贷款</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pacing w:val="-9"/>
                <w:sz w:val="18"/>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c>
          <w:tcPr>
            <w:tcW w:w="1697" w:type="dxa"/>
            <w:gridSpan w:val="5"/>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是否存在提前还款条款</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pacing w:val="-9"/>
                <w:sz w:val="18"/>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是否有利息本金化条款</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c>
          <w:tcPr>
            <w:tcW w:w="1697" w:type="dxa"/>
            <w:gridSpan w:val="5"/>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是否有交叉违约条款</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是否存在加速到期条款</w:t>
            </w:r>
          </w:p>
        </w:tc>
        <w:tc>
          <w:tcPr>
            <w:tcW w:w="2130" w:type="dxa"/>
            <w:gridSpan w:val="6"/>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c>
          <w:tcPr>
            <w:tcW w:w="1697" w:type="dxa"/>
            <w:gridSpan w:val="5"/>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是否外保内贷履约</w:t>
            </w:r>
          </w:p>
        </w:tc>
        <w:tc>
          <w:tcPr>
            <w:tcW w:w="2808" w:type="dxa"/>
            <w:gridSpan w:val="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是否为境内银行离岸部贷款</w:t>
            </w:r>
          </w:p>
        </w:tc>
        <w:tc>
          <w:tcPr>
            <w:tcW w:w="6635"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rPr>
                <w:rFonts w:hint="default" w:ascii="宋体" w:hAnsi="宋体"/>
                <w:sz w:val="24"/>
              </w:rPr>
            </w:pPr>
            <w:r>
              <w:rPr>
                <w:rFonts w:hint="default" w:ascii="宋体" w:hAnsi="宋体"/>
                <w:sz w:val="24"/>
              </w:rPr>
              <w:t>是否占用外债额度</w:t>
            </w:r>
          </w:p>
        </w:tc>
        <w:tc>
          <w:tcPr>
            <w:tcW w:w="2160" w:type="dxa"/>
            <w:gridSpan w:val="8"/>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pacing w:val="-9"/>
                <w:sz w:val="18"/>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c>
          <w:tcPr>
            <w:tcW w:w="1680" w:type="dxa"/>
            <w:gridSpan w:val="4"/>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pacing w:val="-9"/>
                <w:sz w:val="18"/>
              </w:rPr>
            </w:pPr>
            <w:r>
              <w:rPr>
                <w:rFonts w:hint="default" w:ascii="宋体" w:hAnsi="宋体"/>
                <w:sz w:val="24"/>
              </w:rPr>
              <w:t>豁免类型</w:t>
            </w:r>
          </w:p>
        </w:tc>
        <w:tc>
          <w:tcPr>
            <w:tcW w:w="2795" w:type="dxa"/>
            <w:gridSpan w:val="5"/>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pacing w:val="-9"/>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47" w:type="dxa"/>
            <w:gridSpan w:val="4"/>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是否内保外贷资金调回境内</w:t>
            </w:r>
          </w:p>
        </w:tc>
        <w:tc>
          <w:tcPr>
            <w:tcW w:w="6625" w:type="dxa"/>
            <w:gridSpan w:val="16"/>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left"/>
              <w:rPr>
                <w:rFonts w:hint="default" w:ascii="宋体" w:hAnsi="宋体"/>
                <w:spacing w:val="-9"/>
                <w:sz w:val="18"/>
              </w:rPr>
            </w:pPr>
            <w:r>
              <w:rPr>
                <w:rFonts w:hint="default" w:ascii="宋体" w:hAnsi="宋体"/>
                <w:sz w:val="24"/>
              </w:rPr>
              <w:t>内保外贷业务编号</w:t>
            </w:r>
          </w:p>
        </w:tc>
        <w:tc>
          <w:tcPr>
            <w:tcW w:w="2055" w:type="dxa"/>
            <w:gridSpan w:val="5"/>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pacing w:val="-9"/>
                <w:sz w:val="18"/>
              </w:rPr>
            </w:pPr>
          </w:p>
        </w:tc>
        <w:tc>
          <w:tcPr>
            <w:tcW w:w="1785" w:type="dxa"/>
            <w:gridSpan w:val="7"/>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jc w:val="left"/>
              <w:rPr>
                <w:rFonts w:hint="default" w:ascii="宋体" w:hAnsi="宋体"/>
                <w:spacing w:val="-9"/>
                <w:sz w:val="18"/>
              </w:rPr>
            </w:pPr>
            <w:r>
              <w:rPr>
                <w:rFonts w:hint="default" w:ascii="宋体" w:hAnsi="宋体"/>
                <w:sz w:val="24"/>
              </w:rPr>
              <w:t>调回金额占比（%）</w:t>
            </w:r>
          </w:p>
        </w:tc>
        <w:tc>
          <w:tcPr>
            <w:tcW w:w="2795" w:type="dxa"/>
            <w:gridSpan w:val="5"/>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pacing w:val="-9"/>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跨境融资资金用途</w:t>
            </w:r>
          </w:p>
        </w:tc>
        <w:tc>
          <w:tcPr>
            <w:tcW w:w="6635" w:type="dxa"/>
            <w:gridSpan w:val="17"/>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pacing w:val="-9"/>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37"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跨境融资还款来源</w:t>
            </w:r>
          </w:p>
        </w:tc>
        <w:tc>
          <w:tcPr>
            <w:tcW w:w="6635" w:type="dxa"/>
            <w:gridSpan w:val="17"/>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pacing w:val="-9"/>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b/>
                <w:sz w:val="24"/>
              </w:rPr>
            </w:pPr>
            <w:r>
              <w:rPr>
                <w:rFonts w:hint="default" w:ascii="宋体" w:hAnsi="宋体"/>
                <w:b/>
                <w:sz w:val="24"/>
              </w:rPr>
              <w:t>三、跨境融资风险加权余额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b/>
                <w:sz w:val="24"/>
              </w:rPr>
            </w:pPr>
            <w:r>
              <w:rPr>
                <w:rFonts w:hint="default" w:ascii="宋体" w:hAnsi="宋体"/>
                <w:b/>
                <w:sz w:val="24"/>
              </w:rPr>
              <w:t>跨境融资风险加权余额上限（单位：万元人民币）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1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净资产</w:t>
            </w:r>
          </w:p>
        </w:tc>
        <w:tc>
          <w:tcPr>
            <w:tcW w:w="2173" w:type="dxa"/>
            <w:gridSpan w:val="8"/>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line="320" w:lineRule="exact"/>
              <w:jc w:val="center"/>
              <w:rPr>
                <w:rFonts w:hint="default" w:ascii="宋体" w:hAnsi="宋体"/>
                <w:sz w:val="24"/>
              </w:rPr>
            </w:pPr>
          </w:p>
        </w:tc>
        <w:tc>
          <w:tcPr>
            <w:tcW w:w="1796" w:type="dxa"/>
            <w:gridSpan w:val="8"/>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跨境融资风险加权余额上限</w:t>
            </w:r>
          </w:p>
        </w:tc>
        <w:tc>
          <w:tcPr>
            <w:tcW w:w="2694"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b/>
                <w:sz w:val="24"/>
              </w:rPr>
            </w:pPr>
            <w:r>
              <w:rPr>
                <w:rFonts w:hint="default" w:ascii="宋体" w:hAnsi="宋体"/>
                <w:b/>
                <w:sz w:val="24"/>
              </w:rPr>
              <w:t>跨境融资风险加权余额（单位：万元人民币）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22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sz w:val="24"/>
              </w:rPr>
            </w:pPr>
            <w:r>
              <w:rPr>
                <w:rFonts w:hint="default" w:ascii="宋体" w:hAnsi="宋体"/>
                <w:sz w:val="24"/>
              </w:rPr>
              <w:t>中长期</w:t>
            </w: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sz w:val="24"/>
              </w:rPr>
            </w:pPr>
            <w:r>
              <w:rPr>
                <w:rFonts w:hint="default" w:ascii="宋体" w:hAnsi="宋体"/>
                <w:sz w:val="24"/>
              </w:rPr>
              <w:t>短期</w:t>
            </w: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sz w:val="21"/>
              </w:rPr>
            </w:pPr>
            <w:r>
              <w:rPr>
                <w:rFonts w:hint="default" w:ascii="宋体" w:hAnsi="宋体"/>
                <w:sz w:val="24"/>
              </w:rPr>
              <w:t>外币余额折人民币金额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3" w:hRule="atLeast"/>
        </w:trPr>
        <w:tc>
          <w:tcPr>
            <w:tcW w:w="22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现有跨境融资余额</w:t>
            </w: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3" w:hRule="atLeast"/>
        </w:trPr>
        <w:tc>
          <w:tcPr>
            <w:tcW w:w="22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本笔跨境融资签约额</w:t>
            </w: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trPr>
        <w:tc>
          <w:tcPr>
            <w:tcW w:w="7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z w:val="24"/>
              </w:rPr>
              <w:t>不纳入计算的业务类型</w:t>
            </w:r>
          </w:p>
        </w:tc>
        <w:tc>
          <w:tcPr>
            <w:tcW w:w="15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sz w:val="24"/>
              </w:rPr>
            </w:pPr>
            <w:r>
              <w:rPr>
                <w:rFonts w:hint="default" w:ascii="宋体" w:hAnsi="宋体"/>
                <w:sz w:val="24"/>
              </w:rPr>
              <w:t>中长期余额</w:t>
            </w: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sz w:val="24"/>
              </w:rPr>
            </w:pPr>
            <w:r>
              <w:rPr>
                <w:rFonts w:hint="default" w:ascii="宋体" w:hAnsi="宋体"/>
                <w:sz w:val="24"/>
              </w:rPr>
              <w:t>短期余额</w:t>
            </w: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sz w:val="21"/>
              </w:rPr>
            </w:pPr>
            <w:r>
              <w:rPr>
                <w:rFonts w:hint="default" w:ascii="宋体" w:hAnsi="宋体"/>
                <w:sz w:val="24"/>
              </w:rPr>
              <w:t>外币余额折人民币金额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rPr>
        <w:tc>
          <w:tcPr>
            <w:tcW w:w="7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5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z w:val="24"/>
              </w:rPr>
              <w:t>熊猫债</w:t>
            </w: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trPr>
        <w:tc>
          <w:tcPr>
            <w:tcW w:w="7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5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9" w:hRule="atLeast"/>
        </w:trPr>
        <w:tc>
          <w:tcPr>
            <w:tcW w:w="7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5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 w:hRule="atLeast"/>
        </w:trPr>
        <w:tc>
          <w:tcPr>
            <w:tcW w:w="22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z w:val="24"/>
              </w:rPr>
              <w:t>纳入计算的余额</w:t>
            </w: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165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c>
          <w:tcPr>
            <w:tcW w:w="27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22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z w:val="24"/>
              </w:rPr>
              <w:t>跨境融资风险加权余额</w:t>
            </w:r>
          </w:p>
        </w:tc>
        <w:tc>
          <w:tcPr>
            <w:tcW w:w="6215"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keepLines/>
              <w:spacing w:line="320" w:lineRule="exact"/>
              <w:jc w:val="center"/>
              <w:outlineLvl w:val="0"/>
              <w:rPr>
                <w:rFonts w:hint="default"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32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z w:val="24"/>
              </w:rPr>
              <w:t>跨境融资风险加权余额上限与跨境融资风险加权余额之差额</w:t>
            </w:r>
          </w:p>
        </w:tc>
        <w:tc>
          <w:tcPr>
            <w:tcW w:w="184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ind w:firstLine="480" w:firstLineChars="200"/>
              <w:jc w:val="left"/>
              <w:rPr>
                <w:rFonts w:hint="default" w:ascii="宋体" w:hAnsi="宋体"/>
                <w:sz w:val="24"/>
              </w:rPr>
            </w:pPr>
          </w:p>
        </w:tc>
        <w:tc>
          <w:tcPr>
            <w:tcW w:w="16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default" w:ascii="宋体" w:hAnsi="宋体"/>
                <w:sz w:val="24"/>
              </w:rPr>
            </w:pPr>
            <w:r>
              <w:rPr>
                <w:rFonts w:hint="default" w:ascii="宋体" w:hAnsi="宋体"/>
                <w:sz w:val="24"/>
              </w:rPr>
              <w:t>是否超上限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default" w:ascii="宋体" w:hAnsi="宋体"/>
                <w:sz w:val="24"/>
              </w:rPr>
            </w:pPr>
            <w:r>
              <w:rPr>
                <w:rFonts w:hint="default" w:ascii="宋体" w:hAnsi="宋体"/>
                <w:spacing w:val="-9"/>
                <w:sz w:val="18"/>
              </w:rPr>
              <w:t>□</w:t>
            </w:r>
            <w:r>
              <w:rPr>
                <w:rFonts w:hint="default" w:ascii="宋体" w:hAnsi="宋体"/>
                <w:sz w:val="24"/>
              </w:rPr>
              <w:t xml:space="preserve"> 是  </w:t>
            </w:r>
            <w:r>
              <w:rPr>
                <w:rFonts w:hint="default" w:ascii="宋体" w:hAnsi="宋体"/>
                <w:spacing w:val="-9"/>
                <w:sz w:val="18"/>
              </w:rPr>
              <w:t>□</w:t>
            </w:r>
            <w:r>
              <w:rPr>
                <w:rFonts w:hint="default" w:ascii="宋体" w:hAnsi="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8472" w:type="dxa"/>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ind w:firstLine="324" w:firstLineChars="200"/>
              <w:jc w:val="left"/>
              <w:rPr>
                <w:rFonts w:hint="default" w:ascii="宋体" w:hAnsi="宋体"/>
                <w:sz w:val="24"/>
              </w:rPr>
            </w:pPr>
            <w:r>
              <w:rPr>
                <w:rFonts w:hint="default" w:ascii="宋体" w:hAnsi="宋体"/>
                <w:spacing w:val="-9"/>
                <w:sz w:val="18"/>
              </w:rPr>
              <w:t xml:space="preserve">□ </w:t>
            </w:r>
            <w:r>
              <w:rPr>
                <w:rFonts w:hint="default" w:ascii="宋体" w:hAnsi="宋体"/>
                <w:sz w:val="24"/>
              </w:rPr>
              <w:t>本企业所填写的《非金融企业外债登记申请表（宏观审慎模式）》中各项内容及所提交的所有书面材料均真实有效，所有复印件与原件相同，本机构将严格按照相关规定认真履行相关职责，并及时准确地报送相关信息，否则本企业及其法定代表人将承担由此而导致的一切后果。</w:t>
            </w:r>
          </w:p>
          <w:p>
            <w:pPr>
              <w:spacing w:line="320" w:lineRule="exact"/>
              <w:ind w:firstLine="480" w:firstLineChars="200"/>
              <w:jc w:val="left"/>
              <w:rPr>
                <w:rFonts w:hint="default" w:ascii="宋体" w:hAnsi="宋体"/>
                <w:sz w:val="24"/>
              </w:rPr>
            </w:pPr>
            <w:r>
              <w:rPr>
                <w:rFonts w:hint="default" w:ascii="宋体" w:hAnsi="宋体"/>
                <w:sz w:val="24"/>
              </w:rPr>
              <w:t xml:space="preserve">                                  </w:t>
            </w:r>
          </w:p>
          <w:p>
            <w:pPr>
              <w:spacing w:line="320" w:lineRule="exact"/>
              <w:ind w:firstLine="6480" w:firstLineChars="2700"/>
              <w:jc w:val="left"/>
              <w:rPr>
                <w:rFonts w:hint="default" w:ascii="宋体" w:hAnsi="宋体"/>
                <w:sz w:val="24"/>
              </w:rPr>
            </w:pPr>
            <w:r>
              <w:rPr>
                <w:rFonts w:hint="default" w:ascii="宋体" w:hAnsi="宋体"/>
                <w:sz w:val="24"/>
              </w:rPr>
              <w:t>（公章）</w:t>
            </w:r>
          </w:p>
        </w:tc>
      </w:tr>
    </w:tbl>
    <w:p>
      <w:pPr>
        <w:rPr>
          <w:rFonts w:hint="default" w:ascii="宋体" w:hAnsi="宋体"/>
          <w:sz w:val="24"/>
        </w:rPr>
      </w:pPr>
      <w:r>
        <w:rPr>
          <w:rFonts w:hint="default" w:ascii="宋体" w:hAnsi="宋体"/>
          <w:sz w:val="24"/>
        </w:rPr>
        <w:t>联系人：             联系电话：               填表时间：   年   月   日</w:t>
      </w:r>
    </w:p>
    <w:p>
      <w:pPr>
        <w:widowControl/>
        <w:jc w:val="left"/>
        <w:rPr>
          <w:rFonts w:hint="eastAsia" w:ascii="仿宋_GB2312" w:hAnsi="宋体" w:eastAsia="仿宋_GB2312"/>
          <w:b/>
          <w:sz w:val="22"/>
        </w:rPr>
      </w:pPr>
      <w:r>
        <w:rPr>
          <w:rFonts w:hint="default" w:ascii="宋体" w:hAnsi="宋体"/>
          <w:sz w:val="24"/>
        </w:rPr>
        <w:br w:type="page"/>
      </w:r>
      <w:r>
        <w:rPr>
          <w:rFonts w:hint="eastAsia" w:ascii="仿宋_GB2312" w:hAnsi="宋体" w:eastAsia="仿宋_GB2312"/>
          <w:b/>
          <w:sz w:val="22"/>
        </w:rPr>
        <w:t>填表说明：</w:t>
      </w:r>
    </w:p>
    <w:p>
      <w:pPr>
        <w:pStyle w:val="6"/>
        <w:rPr>
          <w:rFonts w:hint="default" w:hAnsi="宋体"/>
          <w:sz w:val="21"/>
        </w:rPr>
      </w:pPr>
      <w:r>
        <w:rPr>
          <w:rFonts w:hint="default" w:hAnsi="宋体"/>
          <w:sz w:val="21"/>
        </w:rPr>
        <w:t>1.外币跨境融资以签约日的汇率水平折算。</w:t>
      </w:r>
    </w:p>
    <w:p>
      <w:pPr>
        <w:widowControl/>
        <w:jc w:val="left"/>
        <w:rPr>
          <w:rFonts w:hint="default" w:ascii="宋体" w:hAnsi="宋体"/>
          <w:sz w:val="21"/>
        </w:rPr>
      </w:pPr>
      <w:r>
        <w:rPr>
          <w:rStyle w:val="10"/>
          <w:rFonts w:hint="default" w:ascii="宋体" w:hAnsi="宋体"/>
          <w:kern w:val="0"/>
          <w:sz w:val="21"/>
          <w:vertAlign w:val="baseline"/>
        </w:rPr>
        <w:t>2.</w:t>
      </w:r>
      <w:r>
        <w:rPr>
          <w:rFonts w:hint="default" w:ascii="宋体" w:hAnsi="宋体"/>
          <w:kern w:val="0"/>
          <w:sz w:val="21"/>
        </w:rPr>
        <w:t>“债</w:t>
      </w:r>
      <w:r>
        <w:rPr>
          <w:rFonts w:hint="default" w:ascii="宋体" w:hAnsi="宋体"/>
          <w:sz w:val="21"/>
        </w:rPr>
        <w:t>务人类型”请按以下分类填写：“国有企业”、“民营企业”、“其他中资企业”、“独资企业”、“合资企业”、“合作企业”。</w:t>
      </w:r>
    </w:p>
    <w:p>
      <w:pPr>
        <w:widowControl/>
        <w:jc w:val="left"/>
        <w:rPr>
          <w:rFonts w:hint="default" w:ascii="宋体" w:hAnsi="宋体"/>
          <w:sz w:val="21"/>
        </w:rPr>
      </w:pPr>
      <w:r>
        <w:rPr>
          <w:rFonts w:hint="default" w:ascii="宋体" w:hAnsi="宋体"/>
          <w:sz w:val="21"/>
        </w:rPr>
        <w:t>3.“债务类型”请按以下分类填写：“从境外母公司贷款”、“从境外子公司贷款”、“从联属企业贷款”、“非股东及非关联企业贷款”、“境外金融机构贷款”、“银团贷款”、“补偿贸易中需现汇偿还的债务”、“债券和票据”、“融资租赁”、“其他贷款”。</w:t>
      </w:r>
    </w:p>
    <w:p>
      <w:pPr>
        <w:widowControl/>
        <w:jc w:val="left"/>
        <w:rPr>
          <w:rFonts w:hint="default" w:ascii="宋体" w:hAnsi="宋体"/>
          <w:sz w:val="21"/>
        </w:rPr>
      </w:pPr>
      <w:r>
        <w:rPr>
          <w:rFonts w:hint="default" w:ascii="宋体" w:hAnsi="宋体"/>
          <w:sz w:val="21"/>
        </w:rPr>
        <w:t>4.“豁免类型”仅“是否占用外债额度”选择为“否”时，需按以下分类填写：“自用熊猫债”、“其他豁免”。</w:t>
      </w:r>
    </w:p>
    <w:p>
      <w:pPr>
        <w:widowControl/>
        <w:jc w:val="left"/>
        <w:rPr>
          <w:rFonts w:hint="default" w:ascii="宋体" w:hAnsi="宋体"/>
          <w:sz w:val="21"/>
        </w:rPr>
      </w:pPr>
      <w:r>
        <w:rPr>
          <w:rFonts w:hint="default" w:ascii="宋体" w:hAnsi="宋体"/>
          <w:sz w:val="21"/>
        </w:rPr>
        <w:t>5.“内保外贷业务编号”及“调回金额占比‘%’”仅“是否内保外贷资金调回境内”选择为“是”时需填写。</w:t>
      </w:r>
    </w:p>
    <w:p>
      <w:pPr>
        <w:pStyle w:val="6"/>
        <w:rPr>
          <w:rFonts w:hint="default" w:hAnsi="宋体"/>
          <w:sz w:val="21"/>
        </w:rPr>
      </w:pPr>
      <w:r>
        <w:rPr>
          <w:rFonts w:hint="default" w:hAnsi="宋体"/>
          <w:sz w:val="21"/>
        </w:rPr>
        <w:t>6.“净资产”根据债务人上年度或最近一期经审计的财务报告填写。</w:t>
      </w:r>
    </w:p>
    <w:p>
      <w:pPr>
        <w:pStyle w:val="6"/>
        <w:rPr>
          <w:rFonts w:hint="default" w:hAnsi="宋体"/>
          <w:sz w:val="21"/>
        </w:rPr>
      </w:pPr>
      <w:r>
        <w:rPr>
          <w:rStyle w:val="10"/>
          <w:rFonts w:hint="default" w:hAnsi="宋体"/>
          <w:sz w:val="21"/>
          <w:vertAlign w:val="baseline"/>
        </w:rPr>
        <w:t>7.</w:t>
      </w:r>
      <w:r>
        <w:rPr>
          <w:rFonts w:hint="default" w:hAnsi="宋体"/>
          <w:sz w:val="21"/>
        </w:rPr>
        <w:t>“跨境融资风险加权余额上限”=净资产×跨境融资杠杆率×宏观审慎调节参数。</w:t>
      </w:r>
    </w:p>
    <w:p>
      <w:pPr>
        <w:pStyle w:val="6"/>
        <w:rPr>
          <w:rFonts w:hint="default" w:hAnsi="宋体"/>
          <w:sz w:val="21"/>
        </w:rPr>
      </w:pPr>
      <w:r>
        <w:rPr>
          <w:rFonts w:hint="default" w:hAnsi="宋体"/>
          <w:sz w:val="21"/>
        </w:rPr>
        <w:t>8.计算跨境融资风险加权余额占用情况时，已进行全额提款的非循环类贷款按未偿本金余额占用跨境融资风险加权余额；由于外保内贷履约形成的对外负债按履约额占用跨境融资风险加权余额；其他外债（循环贷款、未提款或部分提款的非循环贷款，含正在申请登记的本笔外债）按签约额占用跨境融资风险加权余额。</w:t>
      </w:r>
    </w:p>
    <w:p>
      <w:pPr>
        <w:pStyle w:val="6"/>
        <w:rPr>
          <w:rFonts w:hint="eastAsia" w:ascii="仿宋_GB2312" w:hAnsi="仿宋_GB2312" w:eastAsia="仿宋_GB2312"/>
          <w:sz w:val="32"/>
        </w:rPr>
      </w:pPr>
      <w:r>
        <w:rPr>
          <w:rFonts w:hint="default" w:hAnsi="宋体"/>
          <w:sz w:val="21"/>
        </w:rPr>
        <w:t>9.跨境融资风险加权余额=∑本外币跨境融资余额×期限风险转换因子+∑外币跨境融资余额×汇率风险折算因子。期限风险转换因子按照签约期限确定，还款期限在1年（不含）以上的中长期跨境融资、还款期限在1年（含）以下的短期跨境融资期限风险转换因子分别为1、1.5；汇率风险折算因子为0.5。外债合同中包含提前还款条款的，除非提前还款条款明确在合同签约一年后方可提前还款，该合同对应的外债金额全部视同短期跨境融资适用期限风险转换因子。</w:t>
      </w:r>
    </w:p>
    <w:p>
      <w:pPr>
        <w:pStyle w:val="2"/>
        <w:spacing w:afterLines="0"/>
        <w:ind w:left="0" w:leftChars="0" w:firstLine="0" w:firstLineChars="0"/>
        <w:rPr>
          <w:rFonts w:hint="eastAsia"/>
          <w:sz w:val="24"/>
        </w:rPr>
      </w:pPr>
    </w:p>
    <w:p>
      <w:pPr>
        <w:ind w:firstLine="640" w:firstLineChars="200"/>
        <w:rPr>
          <w:rFonts w:hint="eastAsia" w:ascii="仿宋_GB2312" w:hAnsi="仿宋_GB2312" w:eastAsia="仿宋_GB2312"/>
          <w:sz w:val="32"/>
        </w:rPr>
      </w:pPr>
    </w:p>
    <w:p>
      <w:pPr>
        <w:adjustRightInd w:val="0"/>
        <w:snapToGrid w:val="0"/>
        <w:spacing w:beforeLines="0" w:afterLines="0" w:line="560" w:lineRule="exact"/>
        <w:rPr>
          <w:rFonts w:hint="eastAsia" w:ascii="仿宋_GB2312" w:hAnsi="仿宋_GB2312" w:eastAsia="仿宋_GB2312"/>
          <w:color w:val="auto"/>
          <w:sz w:val="32"/>
          <w:u w:val="none" w:color="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p>
    <w:pPr>
      <w:pStyle w:val="4"/>
      <w:rPr>
        <w:rFonts w:hint="default"/>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701"/>
    <w:rsid w:val="000D1B94"/>
    <w:rsid w:val="00103AAC"/>
    <w:rsid w:val="00144F31"/>
    <w:rsid w:val="00163822"/>
    <w:rsid w:val="001B620C"/>
    <w:rsid w:val="00260DF9"/>
    <w:rsid w:val="004A6B46"/>
    <w:rsid w:val="00550422"/>
    <w:rsid w:val="00956CE7"/>
    <w:rsid w:val="00A35D59"/>
    <w:rsid w:val="00BB231E"/>
    <w:rsid w:val="00BB3F88"/>
    <w:rsid w:val="00BE7534"/>
    <w:rsid w:val="00CE1020"/>
    <w:rsid w:val="00E43B6B"/>
    <w:rsid w:val="00EC2F61"/>
    <w:rsid w:val="010F0043"/>
    <w:rsid w:val="012D71D0"/>
    <w:rsid w:val="01547980"/>
    <w:rsid w:val="015A6142"/>
    <w:rsid w:val="01601304"/>
    <w:rsid w:val="016E1FEC"/>
    <w:rsid w:val="018B489D"/>
    <w:rsid w:val="019407E8"/>
    <w:rsid w:val="01962ABB"/>
    <w:rsid w:val="019834AD"/>
    <w:rsid w:val="019C6A04"/>
    <w:rsid w:val="019D0629"/>
    <w:rsid w:val="01A05364"/>
    <w:rsid w:val="01A061A4"/>
    <w:rsid w:val="01AC4623"/>
    <w:rsid w:val="01AF49A2"/>
    <w:rsid w:val="01B846C4"/>
    <w:rsid w:val="01BC6B0E"/>
    <w:rsid w:val="01C02581"/>
    <w:rsid w:val="01D07B41"/>
    <w:rsid w:val="01D16DAC"/>
    <w:rsid w:val="01F80A9B"/>
    <w:rsid w:val="02213F17"/>
    <w:rsid w:val="02294764"/>
    <w:rsid w:val="02511CA5"/>
    <w:rsid w:val="027502C0"/>
    <w:rsid w:val="02826B65"/>
    <w:rsid w:val="0291322F"/>
    <w:rsid w:val="02945830"/>
    <w:rsid w:val="02AF10B5"/>
    <w:rsid w:val="02B2010A"/>
    <w:rsid w:val="02C17917"/>
    <w:rsid w:val="02CD78F8"/>
    <w:rsid w:val="02DE0F28"/>
    <w:rsid w:val="02E22D69"/>
    <w:rsid w:val="02FB2AA7"/>
    <w:rsid w:val="030F439E"/>
    <w:rsid w:val="032E47FA"/>
    <w:rsid w:val="032F7723"/>
    <w:rsid w:val="035A0B61"/>
    <w:rsid w:val="036B2F56"/>
    <w:rsid w:val="037B7C29"/>
    <w:rsid w:val="03A24DA8"/>
    <w:rsid w:val="03DA7F55"/>
    <w:rsid w:val="03DB2879"/>
    <w:rsid w:val="04016CD0"/>
    <w:rsid w:val="040B5649"/>
    <w:rsid w:val="04191EEA"/>
    <w:rsid w:val="042E6FF7"/>
    <w:rsid w:val="04344701"/>
    <w:rsid w:val="04392956"/>
    <w:rsid w:val="0443506B"/>
    <w:rsid w:val="044E152E"/>
    <w:rsid w:val="04772C67"/>
    <w:rsid w:val="04774631"/>
    <w:rsid w:val="048933F5"/>
    <w:rsid w:val="04AE33CE"/>
    <w:rsid w:val="04AF40E7"/>
    <w:rsid w:val="04B52D54"/>
    <w:rsid w:val="04C47DC6"/>
    <w:rsid w:val="04EB28BD"/>
    <w:rsid w:val="04F077CD"/>
    <w:rsid w:val="04F57A40"/>
    <w:rsid w:val="04FF7B08"/>
    <w:rsid w:val="050B48DF"/>
    <w:rsid w:val="052A14A0"/>
    <w:rsid w:val="052C1009"/>
    <w:rsid w:val="05364D05"/>
    <w:rsid w:val="053B77CB"/>
    <w:rsid w:val="054A4BE9"/>
    <w:rsid w:val="057F6494"/>
    <w:rsid w:val="05851D1D"/>
    <w:rsid w:val="0591779C"/>
    <w:rsid w:val="059D32BA"/>
    <w:rsid w:val="05B129A2"/>
    <w:rsid w:val="05B464E1"/>
    <w:rsid w:val="05B60C3A"/>
    <w:rsid w:val="05CB7774"/>
    <w:rsid w:val="05DF6A84"/>
    <w:rsid w:val="063C4583"/>
    <w:rsid w:val="06435010"/>
    <w:rsid w:val="064D06F4"/>
    <w:rsid w:val="067227A7"/>
    <w:rsid w:val="06841794"/>
    <w:rsid w:val="06A90665"/>
    <w:rsid w:val="06D67832"/>
    <w:rsid w:val="06EC4802"/>
    <w:rsid w:val="070C0532"/>
    <w:rsid w:val="071B5861"/>
    <w:rsid w:val="07212A08"/>
    <w:rsid w:val="076E1B5A"/>
    <w:rsid w:val="076F383F"/>
    <w:rsid w:val="07757FCD"/>
    <w:rsid w:val="07820737"/>
    <w:rsid w:val="07A661A7"/>
    <w:rsid w:val="07C40A5D"/>
    <w:rsid w:val="07C42CC0"/>
    <w:rsid w:val="07C509A5"/>
    <w:rsid w:val="07EA6B18"/>
    <w:rsid w:val="07FF0D1B"/>
    <w:rsid w:val="08124AA9"/>
    <w:rsid w:val="08184CD1"/>
    <w:rsid w:val="082B55E1"/>
    <w:rsid w:val="082B72FF"/>
    <w:rsid w:val="083130EF"/>
    <w:rsid w:val="08344FF4"/>
    <w:rsid w:val="085513F4"/>
    <w:rsid w:val="08CC320A"/>
    <w:rsid w:val="08ED1B30"/>
    <w:rsid w:val="08F53B57"/>
    <w:rsid w:val="09140E42"/>
    <w:rsid w:val="092D3500"/>
    <w:rsid w:val="093B6BDF"/>
    <w:rsid w:val="094C4F59"/>
    <w:rsid w:val="095310B5"/>
    <w:rsid w:val="09567B93"/>
    <w:rsid w:val="095B2A65"/>
    <w:rsid w:val="09635FB0"/>
    <w:rsid w:val="09697F6D"/>
    <w:rsid w:val="096F354E"/>
    <w:rsid w:val="09746320"/>
    <w:rsid w:val="0975701A"/>
    <w:rsid w:val="0976560F"/>
    <w:rsid w:val="097F1728"/>
    <w:rsid w:val="099A585A"/>
    <w:rsid w:val="09B421AC"/>
    <w:rsid w:val="09D02562"/>
    <w:rsid w:val="09D0689B"/>
    <w:rsid w:val="09D50801"/>
    <w:rsid w:val="09DE629B"/>
    <w:rsid w:val="0A1D3C97"/>
    <w:rsid w:val="0A35182D"/>
    <w:rsid w:val="0A4F734E"/>
    <w:rsid w:val="0A501DAB"/>
    <w:rsid w:val="0A6025BC"/>
    <w:rsid w:val="0A651EBF"/>
    <w:rsid w:val="0A675A75"/>
    <w:rsid w:val="0A7F243F"/>
    <w:rsid w:val="0A9F53AF"/>
    <w:rsid w:val="0AAA2C3B"/>
    <w:rsid w:val="0AB85277"/>
    <w:rsid w:val="0AD16417"/>
    <w:rsid w:val="0AD67974"/>
    <w:rsid w:val="0AD975A7"/>
    <w:rsid w:val="0AFD13AA"/>
    <w:rsid w:val="0B146309"/>
    <w:rsid w:val="0B1D650C"/>
    <w:rsid w:val="0B246DCA"/>
    <w:rsid w:val="0B383304"/>
    <w:rsid w:val="0B6100C6"/>
    <w:rsid w:val="0B831DA1"/>
    <w:rsid w:val="0B85119B"/>
    <w:rsid w:val="0B8A3B6D"/>
    <w:rsid w:val="0B902E77"/>
    <w:rsid w:val="0B935B65"/>
    <w:rsid w:val="0BA32998"/>
    <w:rsid w:val="0BAD535C"/>
    <w:rsid w:val="0BCB25F2"/>
    <w:rsid w:val="0BE930D0"/>
    <w:rsid w:val="0BFB76C7"/>
    <w:rsid w:val="0C1A6A9E"/>
    <w:rsid w:val="0C2841CC"/>
    <w:rsid w:val="0C2B615D"/>
    <w:rsid w:val="0C48107C"/>
    <w:rsid w:val="0C4D039F"/>
    <w:rsid w:val="0C554C9F"/>
    <w:rsid w:val="0C5C1773"/>
    <w:rsid w:val="0C700505"/>
    <w:rsid w:val="0C751C93"/>
    <w:rsid w:val="0CA305C5"/>
    <w:rsid w:val="0CB415EE"/>
    <w:rsid w:val="0CD34329"/>
    <w:rsid w:val="0CEC681E"/>
    <w:rsid w:val="0D0679F3"/>
    <w:rsid w:val="0D36786E"/>
    <w:rsid w:val="0D3C0BB6"/>
    <w:rsid w:val="0D42615A"/>
    <w:rsid w:val="0D474BB6"/>
    <w:rsid w:val="0D4D6E50"/>
    <w:rsid w:val="0D5253A4"/>
    <w:rsid w:val="0D5D2863"/>
    <w:rsid w:val="0D5F444B"/>
    <w:rsid w:val="0D722254"/>
    <w:rsid w:val="0DC7587D"/>
    <w:rsid w:val="0DCE708E"/>
    <w:rsid w:val="0DD33CC3"/>
    <w:rsid w:val="0DD64168"/>
    <w:rsid w:val="0DD74F55"/>
    <w:rsid w:val="0DEF6F4C"/>
    <w:rsid w:val="0DFC2484"/>
    <w:rsid w:val="0E081ED5"/>
    <w:rsid w:val="0E1F774E"/>
    <w:rsid w:val="0E355C46"/>
    <w:rsid w:val="0E391F0C"/>
    <w:rsid w:val="0E3B6980"/>
    <w:rsid w:val="0E452F88"/>
    <w:rsid w:val="0E4B513C"/>
    <w:rsid w:val="0E6D6744"/>
    <w:rsid w:val="0E726053"/>
    <w:rsid w:val="0EB12901"/>
    <w:rsid w:val="0ECD2C1C"/>
    <w:rsid w:val="0EFD4DDB"/>
    <w:rsid w:val="0F0F47FC"/>
    <w:rsid w:val="0F1D3557"/>
    <w:rsid w:val="0F224C4A"/>
    <w:rsid w:val="0F281E9A"/>
    <w:rsid w:val="0F36626C"/>
    <w:rsid w:val="0F433458"/>
    <w:rsid w:val="0F566ADD"/>
    <w:rsid w:val="0F642EA6"/>
    <w:rsid w:val="0F6771DF"/>
    <w:rsid w:val="0F710F6A"/>
    <w:rsid w:val="0F732864"/>
    <w:rsid w:val="0F7F3AF7"/>
    <w:rsid w:val="0F840BBF"/>
    <w:rsid w:val="0F9C7232"/>
    <w:rsid w:val="0FAF3E27"/>
    <w:rsid w:val="0FDC237F"/>
    <w:rsid w:val="0FE26E24"/>
    <w:rsid w:val="0FE35867"/>
    <w:rsid w:val="10034AD4"/>
    <w:rsid w:val="10330AF7"/>
    <w:rsid w:val="104563E0"/>
    <w:rsid w:val="104C5988"/>
    <w:rsid w:val="105A611D"/>
    <w:rsid w:val="107670AA"/>
    <w:rsid w:val="108F029B"/>
    <w:rsid w:val="10AF2E00"/>
    <w:rsid w:val="10B17780"/>
    <w:rsid w:val="10C704F8"/>
    <w:rsid w:val="10D8062C"/>
    <w:rsid w:val="10E10BD1"/>
    <w:rsid w:val="10EC64ED"/>
    <w:rsid w:val="111228C9"/>
    <w:rsid w:val="112707D1"/>
    <w:rsid w:val="114E4BA9"/>
    <w:rsid w:val="1155723D"/>
    <w:rsid w:val="11735D76"/>
    <w:rsid w:val="117B4437"/>
    <w:rsid w:val="118920C6"/>
    <w:rsid w:val="118A1130"/>
    <w:rsid w:val="11965536"/>
    <w:rsid w:val="119A0BC1"/>
    <w:rsid w:val="11AB6977"/>
    <w:rsid w:val="11D076C7"/>
    <w:rsid w:val="11E23358"/>
    <w:rsid w:val="11EA1C3B"/>
    <w:rsid w:val="11F83565"/>
    <w:rsid w:val="12010599"/>
    <w:rsid w:val="12132C2F"/>
    <w:rsid w:val="12231E24"/>
    <w:rsid w:val="122B36F8"/>
    <w:rsid w:val="127A0A2B"/>
    <w:rsid w:val="1280094A"/>
    <w:rsid w:val="12885817"/>
    <w:rsid w:val="12952D57"/>
    <w:rsid w:val="12CE1876"/>
    <w:rsid w:val="12DE62B6"/>
    <w:rsid w:val="12EE71F5"/>
    <w:rsid w:val="130B1A60"/>
    <w:rsid w:val="13123F02"/>
    <w:rsid w:val="13191F9D"/>
    <w:rsid w:val="13236532"/>
    <w:rsid w:val="13275874"/>
    <w:rsid w:val="13277650"/>
    <w:rsid w:val="13312D86"/>
    <w:rsid w:val="134A23A8"/>
    <w:rsid w:val="13524C7C"/>
    <w:rsid w:val="13577423"/>
    <w:rsid w:val="138D7CF3"/>
    <w:rsid w:val="13AF5EED"/>
    <w:rsid w:val="13BF3D25"/>
    <w:rsid w:val="13D51861"/>
    <w:rsid w:val="13E616E0"/>
    <w:rsid w:val="13EF27B7"/>
    <w:rsid w:val="14017CF9"/>
    <w:rsid w:val="142741CF"/>
    <w:rsid w:val="14386BFD"/>
    <w:rsid w:val="146130DA"/>
    <w:rsid w:val="147F5914"/>
    <w:rsid w:val="14825DF7"/>
    <w:rsid w:val="148E3732"/>
    <w:rsid w:val="149A3E30"/>
    <w:rsid w:val="14BA1E2B"/>
    <w:rsid w:val="14D21C1D"/>
    <w:rsid w:val="14F242C8"/>
    <w:rsid w:val="14F42780"/>
    <w:rsid w:val="150E6980"/>
    <w:rsid w:val="151021CA"/>
    <w:rsid w:val="15122123"/>
    <w:rsid w:val="15336D38"/>
    <w:rsid w:val="157B5D2A"/>
    <w:rsid w:val="158545F6"/>
    <w:rsid w:val="15877BB3"/>
    <w:rsid w:val="159A6E15"/>
    <w:rsid w:val="15CA5E60"/>
    <w:rsid w:val="15D10BAE"/>
    <w:rsid w:val="15D81DBD"/>
    <w:rsid w:val="15DB6885"/>
    <w:rsid w:val="15E71FAC"/>
    <w:rsid w:val="15E941E2"/>
    <w:rsid w:val="15F15A11"/>
    <w:rsid w:val="15F34807"/>
    <w:rsid w:val="1618374B"/>
    <w:rsid w:val="1622387F"/>
    <w:rsid w:val="163A22FE"/>
    <w:rsid w:val="16452A60"/>
    <w:rsid w:val="16663405"/>
    <w:rsid w:val="166C631C"/>
    <w:rsid w:val="168D53EF"/>
    <w:rsid w:val="168E20B4"/>
    <w:rsid w:val="16C23821"/>
    <w:rsid w:val="16DD32D5"/>
    <w:rsid w:val="16E03103"/>
    <w:rsid w:val="16F16318"/>
    <w:rsid w:val="16FE2BC4"/>
    <w:rsid w:val="17001F82"/>
    <w:rsid w:val="17070983"/>
    <w:rsid w:val="170B7CA7"/>
    <w:rsid w:val="170F0429"/>
    <w:rsid w:val="173E2AA4"/>
    <w:rsid w:val="17424EE8"/>
    <w:rsid w:val="17496C3C"/>
    <w:rsid w:val="174E11DA"/>
    <w:rsid w:val="17691386"/>
    <w:rsid w:val="17896621"/>
    <w:rsid w:val="17A35B60"/>
    <w:rsid w:val="17BB01EF"/>
    <w:rsid w:val="17BD66CF"/>
    <w:rsid w:val="17C268CD"/>
    <w:rsid w:val="17C40B58"/>
    <w:rsid w:val="17D74B5F"/>
    <w:rsid w:val="17DB38F6"/>
    <w:rsid w:val="17ED3EE8"/>
    <w:rsid w:val="17FC5993"/>
    <w:rsid w:val="17FF1EF2"/>
    <w:rsid w:val="18126CB7"/>
    <w:rsid w:val="184763DC"/>
    <w:rsid w:val="1849022C"/>
    <w:rsid w:val="185C35E3"/>
    <w:rsid w:val="187B17A2"/>
    <w:rsid w:val="187E7B09"/>
    <w:rsid w:val="18B77C1F"/>
    <w:rsid w:val="18C23B68"/>
    <w:rsid w:val="18CF2511"/>
    <w:rsid w:val="18D56529"/>
    <w:rsid w:val="18E7466E"/>
    <w:rsid w:val="1902082B"/>
    <w:rsid w:val="191127A3"/>
    <w:rsid w:val="19116BBA"/>
    <w:rsid w:val="19303268"/>
    <w:rsid w:val="19673FF7"/>
    <w:rsid w:val="19697C06"/>
    <w:rsid w:val="19721B6C"/>
    <w:rsid w:val="19796792"/>
    <w:rsid w:val="19881E04"/>
    <w:rsid w:val="19890DD8"/>
    <w:rsid w:val="199A6967"/>
    <w:rsid w:val="19A67C68"/>
    <w:rsid w:val="19A80C8B"/>
    <w:rsid w:val="19AC413F"/>
    <w:rsid w:val="19B1478C"/>
    <w:rsid w:val="19D60019"/>
    <w:rsid w:val="19D774E5"/>
    <w:rsid w:val="19DF400C"/>
    <w:rsid w:val="19F7276D"/>
    <w:rsid w:val="1A0F179F"/>
    <w:rsid w:val="1A111570"/>
    <w:rsid w:val="1A1F5272"/>
    <w:rsid w:val="1A30736A"/>
    <w:rsid w:val="1A653251"/>
    <w:rsid w:val="1A6D5BD0"/>
    <w:rsid w:val="1A7A68F7"/>
    <w:rsid w:val="1A8B5941"/>
    <w:rsid w:val="1A9E5552"/>
    <w:rsid w:val="1AF80847"/>
    <w:rsid w:val="1B0C0A03"/>
    <w:rsid w:val="1B602AC0"/>
    <w:rsid w:val="1B665836"/>
    <w:rsid w:val="1B6F411E"/>
    <w:rsid w:val="1B6F50CC"/>
    <w:rsid w:val="1B82149C"/>
    <w:rsid w:val="1BAA1BA1"/>
    <w:rsid w:val="1BAF60FE"/>
    <w:rsid w:val="1BB524C4"/>
    <w:rsid w:val="1BB66078"/>
    <w:rsid w:val="1BC23335"/>
    <w:rsid w:val="1BC235A6"/>
    <w:rsid w:val="1BCD3F17"/>
    <w:rsid w:val="1BCD72C4"/>
    <w:rsid w:val="1BD1137D"/>
    <w:rsid w:val="1BE51BD1"/>
    <w:rsid w:val="1C03597A"/>
    <w:rsid w:val="1C1B4CBD"/>
    <w:rsid w:val="1C522FC7"/>
    <w:rsid w:val="1C5F5553"/>
    <w:rsid w:val="1C64368D"/>
    <w:rsid w:val="1C651361"/>
    <w:rsid w:val="1C7E1E1E"/>
    <w:rsid w:val="1C826411"/>
    <w:rsid w:val="1C893249"/>
    <w:rsid w:val="1C8A4A1D"/>
    <w:rsid w:val="1C960E23"/>
    <w:rsid w:val="1C967FC9"/>
    <w:rsid w:val="1C9E2904"/>
    <w:rsid w:val="1CCF63A8"/>
    <w:rsid w:val="1D38208F"/>
    <w:rsid w:val="1D6720D4"/>
    <w:rsid w:val="1D684B8F"/>
    <w:rsid w:val="1DA0124D"/>
    <w:rsid w:val="1DA25467"/>
    <w:rsid w:val="1DBF4A6B"/>
    <w:rsid w:val="1DD64F0E"/>
    <w:rsid w:val="1DD72680"/>
    <w:rsid w:val="1DEF51A5"/>
    <w:rsid w:val="1E372204"/>
    <w:rsid w:val="1E392EB5"/>
    <w:rsid w:val="1E3A3309"/>
    <w:rsid w:val="1E6146D2"/>
    <w:rsid w:val="1E7B1832"/>
    <w:rsid w:val="1E837B79"/>
    <w:rsid w:val="1EAC226A"/>
    <w:rsid w:val="1EB1090D"/>
    <w:rsid w:val="1EBE1CBE"/>
    <w:rsid w:val="1EC06458"/>
    <w:rsid w:val="1EE07AD6"/>
    <w:rsid w:val="1EE1355C"/>
    <w:rsid w:val="1EF65465"/>
    <w:rsid w:val="1F0A6406"/>
    <w:rsid w:val="1F1A35D9"/>
    <w:rsid w:val="1F2203F8"/>
    <w:rsid w:val="1F2871CE"/>
    <w:rsid w:val="1F3C63AD"/>
    <w:rsid w:val="1F4154DB"/>
    <w:rsid w:val="1F733E32"/>
    <w:rsid w:val="1F76123B"/>
    <w:rsid w:val="1F7A60CD"/>
    <w:rsid w:val="1F966982"/>
    <w:rsid w:val="1F9C4F8F"/>
    <w:rsid w:val="1FB05DBD"/>
    <w:rsid w:val="1FB2235F"/>
    <w:rsid w:val="1FB41064"/>
    <w:rsid w:val="1FB67401"/>
    <w:rsid w:val="1FCA5B21"/>
    <w:rsid w:val="1FCE3A03"/>
    <w:rsid w:val="1FCF706E"/>
    <w:rsid w:val="1FDA4812"/>
    <w:rsid w:val="1FE60DA4"/>
    <w:rsid w:val="1FF9296D"/>
    <w:rsid w:val="1FFA455A"/>
    <w:rsid w:val="203876E8"/>
    <w:rsid w:val="203A6388"/>
    <w:rsid w:val="20621094"/>
    <w:rsid w:val="20807884"/>
    <w:rsid w:val="20A04867"/>
    <w:rsid w:val="20AA1E86"/>
    <w:rsid w:val="20AF49BF"/>
    <w:rsid w:val="20BD33D8"/>
    <w:rsid w:val="20C26E1E"/>
    <w:rsid w:val="20C635B3"/>
    <w:rsid w:val="20D46075"/>
    <w:rsid w:val="20F04AD2"/>
    <w:rsid w:val="20F246B6"/>
    <w:rsid w:val="210422DB"/>
    <w:rsid w:val="21087D8B"/>
    <w:rsid w:val="2110216E"/>
    <w:rsid w:val="21177913"/>
    <w:rsid w:val="214E4B9A"/>
    <w:rsid w:val="2150424B"/>
    <w:rsid w:val="21531C6C"/>
    <w:rsid w:val="2165405A"/>
    <w:rsid w:val="2166354A"/>
    <w:rsid w:val="218372B1"/>
    <w:rsid w:val="21892FEB"/>
    <w:rsid w:val="218B0234"/>
    <w:rsid w:val="219E2857"/>
    <w:rsid w:val="21AA63CE"/>
    <w:rsid w:val="21B23ADB"/>
    <w:rsid w:val="21B24417"/>
    <w:rsid w:val="21B90CF6"/>
    <w:rsid w:val="21CD7922"/>
    <w:rsid w:val="21D603C5"/>
    <w:rsid w:val="21D82A16"/>
    <w:rsid w:val="21DC3709"/>
    <w:rsid w:val="21E4725F"/>
    <w:rsid w:val="21E85F89"/>
    <w:rsid w:val="21F141D1"/>
    <w:rsid w:val="21F84023"/>
    <w:rsid w:val="221B2838"/>
    <w:rsid w:val="2242006C"/>
    <w:rsid w:val="22447B6E"/>
    <w:rsid w:val="2248156B"/>
    <w:rsid w:val="224D7956"/>
    <w:rsid w:val="226E2C9F"/>
    <w:rsid w:val="226F2DD3"/>
    <w:rsid w:val="22754808"/>
    <w:rsid w:val="22895AEB"/>
    <w:rsid w:val="228B74C9"/>
    <w:rsid w:val="22B16DEA"/>
    <w:rsid w:val="22B318DA"/>
    <w:rsid w:val="22B508A0"/>
    <w:rsid w:val="22BA6F8D"/>
    <w:rsid w:val="22DC50EF"/>
    <w:rsid w:val="23413841"/>
    <w:rsid w:val="234909E9"/>
    <w:rsid w:val="236D5295"/>
    <w:rsid w:val="23716D6E"/>
    <w:rsid w:val="2371744A"/>
    <w:rsid w:val="23740A16"/>
    <w:rsid w:val="237F0CDC"/>
    <w:rsid w:val="238100C9"/>
    <w:rsid w:val="23883FAC"/>
    <w:rsid w:val="238B7920"/>
    <w:rsid w:val="23B018FE"/>
    <w:rsid w:val="23B7298A"/>
    <w:rsid w:val="23C80784"/>
    <w:rsid w:val="241E5EE0"/>
    <w:rsid w:val="241F351E"/>
    <w:rsid w:val="24330DE3"/>
    <w:rsid w:val="243B4F8C"/>
    <w:rsid w:val="24822C7E"/>
    <w:rsid w:val="24A5409A"/>
    <w:rsid w:val="24B744E2"/>
    <w:rsid w:val="24CF1103"/>
    <w:rsid w:val="24DA705D"/>
    <w:rsid w:val="24DE618F"/>
    <w:rsid w:val="24E643F7"/>
    <w:rsid w:val="250526F6"/>
    <w:rsid w:val="25103B0E"/>
    <w:rsid w:val="251C5797"/>
    <w:rsid w:val="251C7702"/>
    <w:rsid w:val="253F42CE"/>
    <w:rsid w:val="25524B1F"/>
    <w:rsid w:val="25871A0C"/>
    <w:rsid w:val="25B07748"/>
    <w:rsid w:val="25E53822"/>
    <w:rsid w:val="25E818AA"/>
    <w:rsid w:val="25F6697D"/>
    <w:rsid w:val="262E21C4"/>
    <w:rsid w:val="2634583B"/>
    <w:rsid w:val="26372F27"/>
    <w:rsid w:val="263A5937"/>
    <w:rsid w:val="265B732A"/>
    <w:rsid w:val="26625CB0"/>
    <w:rsid w:val="26745388"/>
    <w:rsid w:val="26826F1A"/>
    <w:rsid w:val="26914A9F"/>
    <w:rsid w:val="26953B5C"/>
    <w:rsid w:val="26A35303"/>
    <w:rsid w:val="26D8332A"/>
    <w:rsid w:val="271C6360"/>
    <w:rsid w:val="272133AA"/>
    <w:rsid w:val="2739481F"/>
    <w:rsid w:val="274F5376"/>
    <w:rsid w:val="276C56CF"/>
    <w:rsid w:val="279C54B9"/>
    <w:rsid w:val="27AD145E"/>
    <w:rsid w:val="27AD4641"/>
    <w:rsid w:val="27D01244"/>
    <w:rsid w:val="27DE7716"/>
    <w:rsid w:val="27E40663"/>
    <w:rsid w:val="27E6425B"/>
    <w:rsid w:val="27EC152A"/>
    <w:rsid w:val="27F21E52"/>
    <w:rsid w:val="280F3A90"/>
    <w:rsid w:val="282B78FD"/>
    <w:rsid w:val="28555557"/>
    <w:rsid w:val="285731E5"/>
    <w:rsid w:val="28711427"/>
    <w:rsid w:val="2873214A"/>
    <w:rsid w:val="28834712"/>
    <w:rsid w:val="28B4407C"/>
    <w:rsid w:val="28B74F10"/>
    <w:rsid w:val="28BF321B"/>
    <w:rsid w:val="28F13530"/>
    <w:rsid w:val="28FF31A1"/>
    <w:rsid w:val="290F1036"/>
    <w:rsid w:val="291E0E4F"/>
    <w:rsid w:val="29314F0B"/>
    <w:rsid w:val="29382034"/>
    <w:rsid w:val="29701559"/>
    <w:rsid w:val="298B6ED9"/>
    <w:rsid w:val="29954A71"/>
    <w:rsid w:val="29A16D27"/>
    <w:rsid w:val="29C36DCE"/>
    <w:rsid w:val="29C918B9"/>
    <w:rsid w:val="2A077E12"/>
    <w:rsid w:val="2A0D3E37"/>
    <w:rsid w:val="2A1842E1"/>
    <w:rsid w:val="2A273BE7"/>
    <w:rsid w:val="2A2A4185"/>
    <w:rsid w:val="2A3C70C3"/>
    <w:rsid w:val="2A456918"/>
    <w:rsid w:val="2A5424AE"/>
    <w:rsid w:val="2A682A86"/>
    <w:rsid w:val="2A6E3581"/>
    <w:rsid w:val="2A797564"/>
    <w:rsid w:val="2A986CC6"/>
    <w:rsid w:val="2A9D7103"/>
    <w:rsid w:val="2AA02440"/>
    <w:rsid w:val="2ABF72AF"/>
    <w:rsid w:val="2AC76E11"/>
    <w:rsid w:val="2AFA6053"/>
    <w:rsid w:val="2B0019F9"/>
    <w:rsid w:val="2B082372"/>
    <w:rsid w:val="2B0B3551"/>
    <w:rsid w:val="2B2C5D81"/>
    <w:rsid w:val="2B336A43"/>
    <w:rsid w:val="2B411568"/>
    <w:rsid w:val="2B506237"/>
    <w:rsid w:val="2B5B6074"/>
    <w:rsid w:val="2B5E2928"/>
    <w:rsid w:val="2B6A5EFA"/>
    <w:rsid w:val="2B73215C"/>
    <w:rsid w:val="2B8074E2"/>
    <w:rsid w:val="2B9C0E63"/>
    <w:rsid w:val="2BAD4D91"/>
    <w:rsid w:val="2BC07022"/>
    <w:rsid w:val="2BE92933"/>
    <w:rsid w:val="2BF13CDE"/>
    <w:rsid w:val="2BFA08B6"/>
    <w:rsid w:val="2C347E9F"/>
    <w:rsid w:val="2C350894"/>
    <w:rsid w:val="2C396626"/>
    <w:rsid w:val="2C4329C1"/>
    <w:rsid w:val="2C4472D5"/>
    <w:rsid w:val="2C497D96"/>
    <w:rsid w:val="2C4B750B"/>
    <w:rsid w:val="2C502B24"/>
    <w:rsid w:val="2C52676D"/>
    <w:rsid w:val="2C595674"/>
    <w:rsid w:val="2C5F2770"/>
    <w:rsid w:val="2C8F48E6"/>
    <w:rsid w:val="2C944E83"/>
    <w:rsid w:val="2CB35C8A"/>
    <w:rsid w:val="2CB76182"/>
    <w:rsid w:val="2CD51B7D"/>
    <w:rsid w:val="2CDE3F14"/>
    <w:rsid w:val="2CF31819"/>
    <w:rsid w:val="2D030BA2"/>
    <w:rsid w:val="2D17196C"/>
    <w:rsid w:val="2D1E4842"/>
    <w:rsid w:val="2D27099A"/>
    <w:rsid w:val="2D31266F"/>
    <w:rsid w:val="2D345202"/>
    <w:rsid w:val="2D3B24A0"/>
    <w:rsid w:val="2D474EA7"/>
    <w:rsid w:val="2D6A012D"/>
    <w:rsid w:val="2D8461E7"/>
    <w:rsid w:val="2DC30753"/>
    <w:rsid w:val="2DD05127"/>
    <w:rsid w:val="2DF53456"/>
    <w:rsid w:val="2E273953"/>
    <w:rsid w:val="2E3E2275"/>
    <w:rsid w:val="2E47665A"/>
    <w:rsid w:val="2E4F32FB"/>
    <w:rsid w:val="2E52546C"/>
    <w:rsid w:val="2E533FCD"/>
    <w:rsid w:val="2E591D4A"/>
    <w:rsid w:val="2E604EC0"/>
    <w:rsid w:val="2E660554"/>
    <w:rsid w:val="2E925AA9"/>
    <w:rsid w:val="2EC05E93"/>
    <w:rsid w:val="2ECF4C27"/>
    <w:rsid w:val="2EEC472F"/>
    <w:rsid w:val="2EF0211E"/>
    <w:rsid w:val="2F002CCF"/>
    <w:rsid w:val="2F006370"/>
    <w:rsid w:val="2F2345A7"/>
    <w:rsid w:val="2F311698"/>
    <w:rsid w:val="2F3900AF"/>
    <w:rsid w:val="2F3F7AD8"/>
    <w:rsid w:val="2F52273E"/>
    <w:rsid w:val="2F550B34"/>
    <w:rsid w:val="2F5B5316"/>
    <w:rsid w:val="2FA35B62"/>
    <w:rsid w:val="2FAB2CE2"/>
    <w:rsid w:val="2FC9540C"/>
    <w:rsid w:val="2FCA4062"/>
    <w:rsid w:val="2FD7735E"/>
    <w:rsid w:val="2FD8307F"/>
    <w:rsid w:val="300553F4"/>
    <w:rsid w:val="30063A51"/>
    <w:rsid w:val="30091B71"/>
    <w:rsid w:val="302644AD"/>
    <w:rsid w:val="30456354"/>
    <w:rsid w:val="304674D5"/>
    <w:rsid w:val="305C4151"/>
    <w:rsid w:val="306F5401"/>
    <w:rsid w:val="307B2F61"/>
    <w:rsid w:val="308C2215"/>
    <w:rsid w:val="30A96C89"/>
    <w:rsid w:val="30B801DC"/>
    <w:rsid w:val="30C415F7"/>
    <w:rsid w:val="30C929B3"/>
    <w:rsid w:val="30DC61E5"/>
    <w:rsid w:val="30E111CC"/>
    <w:rsid w:val="30E40CBE"/>
    <w:rsid w:val="30E965FD"/>
    <w:rsid w:val="30F06DAF"/>
    <w:rsid w:val="30FF64A4"/>
    <w:rsid w:val="31066F7A"/>
    <w:rsid w:val="312B12AE"/>
    <w:rsid w:val="312F24F0"/>
    <w:rsid w:val="31385AAE"/>
    <w:rsid w:val="315541E8"/>
    <w:rsid w:val="315669A4"/>
    <w:rsid w:val="3161457D"/>
    <w:rsid w:val="3175466D"/>
    <w:rsid w:val="31A17E3D"/>
    <w:rsid w:val="31A354FA"/>
    <w:rsid w:val="31AE1822"/>
    <w:rsid w:val="31BE6ACC"/>
    <w:rsid w:val="31CB702D"/>
    <w:rsid w:val="31FC4A99"/>
    <w:rsid w:val="320473B9"/>
    <w:rsid w:val="32141EAB"/>
    <w:rsid w:val="3222532F"/>
    <w:rsid w:val="324D33C6"/>
    <w:rsid w:val="325413A2"/>
    <w:rsid w:val="325B1A13"/>
    <w:rsid w:val="326910D1"/>
    <w:rsid w:val="32852E6E"/>
    <w:rsid w:val="328B3CC3"/>
    <w:rsid w:val="32996DE7"/>
    <w:rsid w:val="32C432DE"/>
    <w:rsid w:val="32D64866"/>
    <w:rsid w:val="32DB6FB8"/>
    <w:rsid w:val="32E10FE3"/>
    <w:rsid w:val="33094A5B"/>
    <w:rsid w:val="33117358"/>
    <w:rsid w:val="3312166A"/>
    <w:rsid w:val="33175015"/>
    <w:rsid w:val="331A5ACA"/>
    <w:rsid w:val="33217B3E"/>
    <w:rsid w:val="33565C2E"/>
    <w:rsid w:val="33580422"/>
    <w:rsid w:val="33591307"/>
    <w:rsid w:val="336152DE"/>
    <w:rsid w:val="33965FAB"/>
    <w:rsid w:val="33B45DC9"/>
    <w:rsid w:val="33B67016"/>
    <w:rsid w:val="33C43AEA"/>
    <w:rsid w:val="3422568A"/>
    <w:rsid w:val="34341290"/>
    <w:rsid w:val="346B37C6"/>
    <w:rsid w:val="34801713"/>
    <w:rsid w:val="34873127"/>
    <w:rsid w:val="348E55BA"/>
    <w:rsid w:val="349F3601"/>
    <w:rsid w:val="34AF00E0"/>
    <w:rsid w:val="34DA55CC"/>
    <w:rsid w:val="34E65A92"/>
    <w:rsid w:val="350143A7"/>
    <w:rsid w:val="351F4489"/>
    <w:rsid w:val="35287A57"/>
    <w:rsid w:val="353D3934"/>
    <w:rsid w:val="354F7ED2"/>
    <w:rsid w:val="355E5713"/>
    <w:rsid w:val="35846BE3"/>
    <w:rsid w:val="35972A3B"/>
    <w:rsid w:val="35E875BC"/>
    <w:rsid w:val="35F16512"/>
    <w:rsid w:val="35F5433F"/>
    <w:rsid w:val="35F96A44"/>
    <w:rsid w:val="36067D1A"/>
    <w:rsid w:val="36070DE0"/>
    <w:rsid w:val="360E4B4E"/>
    <w:rsid w:val="360E54BC"/>
    <w:rsid w:val="36362812"/>
    <w:rsid w:val="36373C70"/>
    <w:rsid w:val="36403D87"/>
    <w:rsid w:val="364F31CC"/>
    <w:rsid w:val="36533199"/>
    <w:rsid w:val="36550B32"/>
    <w:rsid w:val="36732BF6"/>
    <w:rsid w:val="368B2596"/>
    <w:rsid w:val="36A520D1"/>
    <w:rsid w:val="36A728D7"/>
    <w:rsid w:val="36A81D0C"/>
    <w:rsid w:val="36BA1A65"/>
    <w:rsid w:val="36CA3DD2"/>
    <w:rsid w:val="36DE6663"/>
    <w:rsid w:val="36E37179"/>
    <w:rsid w:val="36E70E16"/>
    <w:rsid w:val="37095F0C"/>
    <w:rsid w:val="3716370F"/>
    <w:rsid w:val="373452E9"/>
    <w:rsid w:val="37350FB3"/>
    <w:rsid w:val="37381EB6"/>
    <w:rsid w:val="373D22DA"/>
    <w:rsid w:val="37435F49"/>
    <w:rsid w:val="37485BE3"/>
    <w:rsid w:val="37660DFE"/>
    <w:rsid w:val="37662AD9"/>
    <w:rsid w:val="377847EE"/>
    <w:rsid w:val="37B32389"/>
    <w:rsid w:val="37B730CA"/>
    <w:rsid w:val="38075BBA"/>
    <w:rsid w:val="38323E4B"/>
    <w:rsid w:val="3832712E"/>
    <w:rsid w:val="38397455"/>
    <w:rsid w:val="384D7222"/>
    <w:rsid w:val="38517B18"/>
    <w:rsid w:val="385F017E"/>
    <w:rsid w:val="386F7B8C"/>
    <w:rsid w:val="38817D91"/>
    <w:rsid w:val="3882258B"/>
    <w:rsid w:val="38AF3335"/>
    <w:rsid w:val="38C574C5"/>
    <w:rsid w:val="38CC0507"/>
    <w:rsid w:val="38CE2C9D"/>
    <w:rsid w:val="38F22B4C"/>
    <w:rsid w:val="390F3116"/>
    <w:rsid w:val="393A2E59"/>
    <w:rsid w:val="39507EF3"/>
    <w:rsid w:val="395540CD"/>
    <w:rsid w:val="395837E3"/>
    <w:rsid w:val="396A580C"/>
    <w:rsid w:val="396E2A7D"/>
    <w:rsid w:val="39877D65"/>
    <w:rsid w:val="3988231E"/>
    <w:rsid w:val="39EB462C"/>
    <w:rsid w:val="39EB54D3"/>
    <w:rsid w:val="39F85D59"/>
    <w:rsid w:val="39FD0D50"/>
    <w:rsid w:val="39FE15BF"/>
    <w:rsid w:val="3A080B73"/>
    <w:rsid w:val="3A22756F"/>
    <w:rsid w:val="3A251592"/>
    <w:rsid w:val="3A4A4509"/>
    <w:rsid w:val="3A4A4682"/>
    <w:rsid w:val="3A661483"/>
    <w:rsid w:val="3A6C3EA4"/>
    <w:rsid w:val="3A7D5FB0"/>
    <w:rsid w:val="3A9A4E4D"/>
    <w:rsid w:val="3AC0597D"/>
    <w:rsid w:val="3AC462A7"/>
    <w:rsid w:val="3AD12E3D"/>
    <w:rsid w:val="3AE40CD2"/>
    <w:rsid w:val="3AFB7E2B"/>
    <w:rsid w:val="3B130894"/>
    <w:rsid w:val="3B425370"/>
    <w:rsid w:val="3B4C2C66"/>
    <w:rsid w:val="3B5A4682"/>
    <w:rsid w:val="3B6160CE"/>
    <w:rsid w:val="3B695481"/>
    <w:rsid w:val="3B7E4F7B"/>
    <w:rsid w:val="3B826EA2"/>
    <w:rsid w:val="3B8D49BE"/>
    <w:rsid w:val="3B8E1A33"/>
    <w:rsid w:val="3BB7261E"/>
    <w:rsid w:val="3BB848EB"/>
    <w:rsid w:val="3BC27246"/>
    <w:rsid w:val="3BDF1B48"/>
    <w:rsid w:val="3BE64173"/>
    <w:rsid w:val="3BF22D83"/>
    <w:rsid w:val="3BFD378B"/>
    <w:rsid w:val="3C0A1B9B"/>
    <w:rsid w:val="3C3510EF"/>
    <w:rsid w:val="3C394BC9"/>
    <w:rsid w:val="3C4C51D3"/>
    <w:rsid w:val="3C4E5C21"/>
    <w:rsid w:val="3C4F51A9"/>
    <w:rsid w:val="3C5046B3"/>
    <w:rsid w:val="3C713A5A"/>
    <w:rsid w:val="3C7E7A64"/>
    <w:rsid w:val="3C8850F5"/>
    <w:rsid w:val="3CAF41AD"/>
    <w:rsid w:val="3CCF4D07"/>
    <w:rsid w:val="3CE63C48"/>
    <w:rsid w:val="3CE75118"/>
    <w:rsid w:val="3CF91C80"/>
    <w:rsid w:val="3D15561C"/>
    <w:rsid w:val="3D3906FF"/>
    <w:rsid w:val="3D565CA3"/>
    <w:rsid w:val="3D5B4D6F"/>
    <w:rsid w:val="3D6350FC"/>
    <w:rsid w:val="3D6721EF"/>
    <w:rsid w:val="3D6B0B5A"/>
    <w:rsid w:val="3D75049E"/>
    <w:rsid w:val="3D8769F2"/>
    <w:rsid w:val="3D8966C8"/>
    <w:rsid w:val="3D8E456D"/>
    <w:rsid w:val="3D9550FF"/>
    <w:rsid w:val="3DA02C86"/>
    <w:rsid w:val="3DD64F9E"/>
    <w:rsid w:val="3DDB7B26"/>
    <w:rsid w:val="3DE46468"/>
    <w:rsid w:val="3DEB1384"/>
    <w:rsid w:val="3E031B13"/>
    <w:rsid w:val="3E132CBC"/>
    <w:rsid w:val="3E2E721E"/>
    <w:rsid w:val="3E3C3856"/>
    <w:rsid w:val="3E3E149C"/>
    <w:rsid w:val="3E5813BB"/>
    <w:rsid w:val="3E993C30"/>
    <w:rsid w:val="3EB97CF5"/>
    <w:rsid w:val="3EBC10BD"/>
    <w:rsid w:val="3EC462B2"/>
    <w:rsid w:val="3ECF04D9"/>
    <w:rsid w:val="3EE17F42"/>
    <w:rsid w:val="3EEA7F5C"/>
    <w:rsid w:val="3F0547FD"/>
    <w:rsid w:val="3F054F34"/>
    <w:rsid w:val="3F0D6C87"/>
    <w:rsid w:val="3F180437"/>
    <w:rsid w:val="3F1F73C5"/>
    <w:rsid w:val="3F305651"/>
    <w:rsid w:val="3F6B0BD0"/>
    <w:rsid w:val="3F6F0B3D"/>
    <w:rsid w:val="3F7D332F"/>
    <w:rsid w:val="3F8B122E"/>
    <w:rsid w:val="3F8B4A0F"/>
    <w:rsid w:val="3FB845C2"/>
    <w:rsid w:val="3FD948FD"/>
    <w:rsid w:val="3FF25028"/>
    <w:rsid w:val="3FF7343F"/>
    <w:rsid w:val="3FFC27D9"/>
    <w:rsid w:val="3FFE2E51"/>
    <w:rsid w:val="401D0210"/>
    <w:rsid w:val="402312B7"/>
    <w:rsid w:val="40387186"/>
    <w:rsid w:val="40387730"/>
    <w:rsid w:val="403D083F"/>
    <w:rsid w:val="404D204C"/>
    <w:rsid w:val="407B70C1"/>
    <w:rsid w:val="40993E1A"/>
    <w:rsid w:val="409A7BB1"/>
    <w:rsid w:val="40AC0F28"/>
    <w:rsid w:val="40BC0B67"/>
    <w:rsid w:val="40BF6C33"/>
    <w:rsid w:val="40CA60A8"/>
    <w:rsid w:val="40EE6183"/>
    <w:rsid w:val="40F500FD"/>
    <w:rsid w:val="41157045"/>
    <w:rsid w:val="411815F0"/>
    <w:rsid w:val="41331F67"/>
    <w:rsid w:val="4148151F"/>
    <w:rsid w:val="414A775C"/>
    <w:rsid w:val="41773D38"/>
    <w:rsid w:val="41837C1F"/>
    <w:rsid w:val="41A1697B"/>
    <w:rsid w:val="41B85231"/>
    <w:rsid w:val="41CE3942"/>
    <w:rsid w:val="41E07A49"/>
    <w:rsid w:val="41E23D0C"/>
    <w:rsid w:val="420F485B"/>
    <w:rsid w:val="423F641F"/>
    <w:rsid w:val="425A29DF"/>
    <w:rsid w:val="425E2FDF"/>
    <w:rsid w:val="426054F8"/>
    <w:rsid w:val="426629BC"/>
    <w:rsid w:val="4282132D"/>
    <w:rsid w:val="42835175"/>
    <w:rsid w:val="42940B7E"/>
    <w:rsid w:val="429A0018"/>
    <w:rsid w:val="429D798C"/>
    <w:rsid w:val="42B33C88"/>
    <w:rsid w:val="42B615EE"/>
    <w:rsid w:val="42CA77DA"/>
    <w:rsid w:val="42D3185C"/>
    <w:rsid w:val="42DD37AA"/>
    <w:rsid w:val="42E11A4F"/>
    <w:rsid w:val="42ED6539"/>
    <w:rsid w:val="431B2491"/>
    <w:rsid w:val="43314B4A"/>
    <w:rsid w:val="433D059F"/>
    <w:rsid w:val="433E2DD7"/>
    <w:rsid w:val="434034EE"/>
    <w:rsid w:val="43460FC9"/>
    <w:rsid w:val="43672A06"/>
    <w:rsid w:val="436F0790"/>
    <w:rsid w:val="436F4663"/>
    <w:rsid w:val="43746B94"/>
    <w:rsid w:val="437559B7"/>
    <w:rsid w:val="43772825"/>
    <w:rsid w:val="4378114C"/>
    <w:rsid w:val="439A63AC"/>
    <w:rsid w:val="439E5281"/>
    <w:rsid w:val="43A266B2"/>
    <w:rsid w:val="43B2447A"/>
    <w:rsid w:val="43C92256"/>
    <w:rsid w:val="43CB41A5"/>
    <w:rsid w:val="43DD3580"/>
    <w:rsid w:val="43E71302"/>
    <w:rsid w:val="43EB160A"/>
    <w:rsid w:val="43F200AA"/>
    <w:rsid w:val="43F262C0"/>
    <w:rsid w:val="440743EC"/>
    <w:rsid w:val="443269BE"/>
    <w:rsid w:val="44532C86"/>
    <w:rsid w:val="447E0652"/>
    <w:rsid w:val="447E5389"/>
    <w:rsid w:val="448E0768"/>
    <w:rsid w:val="44C2689C"/>
    <w:rsid w:val="44CD107A"/>
    <w:rsid w:val="44E1472D"/>
    <w:rsid w:val="44E354AD"/>
    <w:rsid w:val="44EF1B0F"/>
    <w:rsid w:val="44F613DC"/>
    <w:rsid w:val="44F71067"/>
    <w:rsid w:val="45246681"/>
    <w:rsid w:val="455828A2"/>
    <w:rsid w:val="45711EB5"/>
    <w:rsid w:val="45834718"/>
    <w:rsid w:val="458365F3"/>
    <w:rsid w:val="45912B8F"/>
    <w:rsid w:val="45A4600E"/>
    <w:rsid w:val="45B11ECE"/>
    <w:rsid w:val="45CD12E9"/>
    <w:rsid w:val="45D05CD7"/>
    <w:rsid w:val="45D60E83"/>
    <w:rsid w:val="45D85451"/>
    <w:rsid w:val="45DC583D"/>
    <w:rsid w:val="45E02087"/>
    <w:rsid w:val="45F562E2"/>
    <w:rsid w:val="45F625BA"/>
    <w:rsid w:val="46096346"/>
    <w:rsid w:val="460E0B81"/>
    <w:rsid w:val="46137C67"/>
    <w:rsid w:val="46186B05"/>
    <w:rsid w:val="46382A08"/>
    <w:rsid w:val="46415651"/>
    <w:rsid w:val="464E7078"/>
    <w:rsid w:val="464F411F"/>
    <w:rsid w:val="466550A8"/>
    <w:rsid w:val="466A3BFD"/>
    <w:rsid w:val="46764DB5"/>
    <w:rsid w:val="46812A39"/>
    <w:rsid w:val="46A15F51"/>
    <w:rsid w:val="46B24387"/>
    <w:rsid w:val="46B50B75"/>
    <w:rsid w:val="46EB448A"/>
    <w:rsid w:val="46F94063"/>
    <w:rsid w:val="46FB617D"/>
    <w:rsid w:val="46FD4CBB"/>
    <w:rsid w:val="470259B6"/>
    <w:rsid w:val="47104A7E"/>
    <w:rsid w:val="4720777E"/>
    <w:rsid w:val="47401F57"/>
    <w:rsid w:val="47433CA8"/>
    <w:rsid w:val="47625BD8"/>
    <w:rsid w:val="47840B46"/>
    <w:rsid w:val="47A62000"/>
    <w:rsid w:val="47B836BF"/>
    <w:rsid w:val="47BA3C7E"/>
    <w:rsid w:val="47C97558"/>
    <w:rsid w:val="47FF6C66"/>
    <w:rsid w:val="480E62E2"/>
    <w:rsid w:val="48143DF7"/>
    <w:rsid w:val="481A01A3"/>
    <w:rsid w:val="48220312"/>
    <w:rsid w:val="482E4451"/>
    <w:rsid w:val="48331326"/>
    <w:rsid w:val="48341D07"/>
    <w:rsid w:val="483A1FCE"/>
    <w:rsid w:val="483D0BFB"/>
    <w:rsid w:val="48436C52"/>
    <w:rsid w:val="484E71DD"/>
    <w:rsid w:val="48593733"/>
    <w:rsid w:val="485C0228"/>
    <w:rsid w:val="4868784C"/>
    <w:rsid w:val="487528A0"/>
    <w:rsid w:val="4883696B"/>
    <w:rsid w:val="488C4697"/>
    <w:rsid w:val="48901D5B"/>
    <w:rsid w:val="489C4374"/>
    <w:rsid w:val="48AA46E6"/>
    <w:rsid w:val="48B13327"/>
    <w:rsid w:val="48C04213"/>
    <w:rsid w:val="48D55252"/>
    <w:rsid w:val="48D56424"/>
    <w:rsid w:val="48DF3D13"/>
    <w:rsid w:val="48E429AA"/>
    <w:rsid w:val="48E92B42"/>
    <w:rsid w:val="48FC387F"/>
    <w:rsid w:val="49297C11"/>
    <w:rsid w:val="49681CAC"/>
    <w:rsid w:val="499A0FCE"/>
    <w:rsid w:val="49A6757C"/>
    <w:rsid w:val="49A67EC6"/>
    <w:rsid w:val="49AA6295"/>
    <w:rsid w:val="49AF0BA6"/>
    <w:rsid w:val="49B36C0C"/>
    <w:rsid w:val="49BA2A83"/>
    <w:rsid w:val="49EA3B80"/>
    <w:rsid w:val="49EB7596"/>
    <w:rsid w:val="49F0400B"/>
    <w:rsid w:val="49F63769"/>
    <w:rsid w:val="49FB3A21"/>
    <w:rsid w:val="4A201E5F"/>
    <w:rsid w:val="4A3306D5"/>
    <w:rsid w:val="4A337537"/>
    <w:rsid w:val="4A520D7A"/>
    <w:rsid w:val="4A5E1922"/>
    <w:rsid w:val="4A8E2E63"/>
    <w:rsid w:val="4A980B7A"/>
    <w:rsid w:val="4AAD13A2"/>
    <w:rsid w:val="4AB808BE"/>
    <w:rsid w:val="4AD66BAA"/>
    <w:rsid w:val="4ADF2220"/>
    <w:rsid w:val="4B077AED"/>
    <w:rsid w:val="4B12542E"/>
    <w:rsid w:val="4B1F7E1C"/>
    <w:rsid w:val="4B207725"/>
    <w:rsid w:val="4B2466D1"/>
    <w:rsid w:val="4B3370FA"/>
    <w:rsid w:val="4B5F151A"/>
    <w:rsid w:val="4B601366"/>
    <w:rsid w:val="4B760F57"/>
    <w:rsid w:val="4B896479"/>
    <w:rsid w:val="4B9A2087"/>
    <w:rsid w:val="4BBF39D6"/>
    <w:rsid w:val="4BC61FF1"/>
    <w:rsid w:val="4BD5581B"/>
    <w:rsid w:val="4BE65F38"/>
    <w:rsid w:val="4BF62AEF"/>
    <w:rsid w:val="4BFD1688"/>
    <w:rsid w:val="4C09723A"/>
    <w:rsid w:val="4C157683"/>
    <w:rsid w:val="4C3676CF"/>
    <w:rsid w:val="4C4B7808"/>
    <w:rsid w:val="4C510C8C"/>
    <w:rsid w:val="4C7A2C21"/>
    <w:rsid w:val="4C7E0483"/>
    <w:rsid w:val="4C7F0805"/>
    <w:rsid w:val="4C9A506F"/>
    <w:rsid w:val="4CA505B9"/>
    <w:rsid w:val="4CAA45CA"/>
    <w:rsid w:val="4CC77BE0"/>
    <w:rsid w:val="4CEB2349"/>
    <w:rsid w:val="4D046C13"/>
    <w:rsid w:val="4D2943CE"/>
    <w:rsid w:val="4D2E6423"/>
    <w:rsid w:val="4D313BC4"/>
    <w:rsid w:val="4D54267C"/>
    <w:rsid w:val="4D5D3B35"/>
    <w:rsid w:val="4D7A5834"/>
    <w:rsid w:val="4D7C3CB4"/>
    <w:rsid w:val="4D8508DF"/>
    <w:rsid w:val="4D8954FD"/>
    <w:rsid w:val="4D8A3E7F"/>
    <w:rsid w:val="4DB959BA"/>
    <w:rsid w:val="4DD41C6B"/>
    <w:rsid w:val="4DD51D23"/>
    <w:rsid w:val="4DE42A79"/>
    <w:rsid w:val="4DED7FA5"/>
    <w:rsid w:val="4DF90C0E"/>
    <w:rsid w:val="4E257C43"/>
    <w:rsid w:val="4E300D3E"/>
    <w:rsid w:val="4E4E1548"/>
    <w:rsid w:val="4E5852E3"/>
    <w:rsid w:val="4E5E309B"/>
    <w:rsid w:val="4E67590E"/>
    <w:rsid w:val="4E6C0DA5"/>
    <w:rsid w:val="4E747E2C"/>
    <w:rsid w:val="4E854EA5"/>
    <w:rsid w:val="4E8A5A0D"/>
    <w:rsid w:val="4EA418B6"/>
    <w:rsid w:val="4EAE648B"/>
    <w:rsid w:val="4EDF073D"/>
    <w:rsid w:val="4EF84A5F"/>
    <w:rsid w:val="4F0D2D01"/>
    <w:rsid w:val="4F15186D"/>
    <w:rsid w:val="4F2B3248"/>
    <w:rsid w:val="4F2F2D69"/>
    <w:rsid w:val="4F37431C"/>
    <w:rsid w:val="4F474F7F"/>
    <w:rsid w:val="4F477823"/>
    <w:rsid w:val="4F514A31"/>
    <w:rsid w:val="4F580F27"/>
    <w:rsid w:val="4F6538BD"/>
    <w:rsid w:val="4F86314A"/>
    <w:rsid w:val="4F8F638C"/>
    <w:rsid w:val="4FF96889"/>
    <w:rsid w:val="500646E5"/>
    <w:rsid w:val="501A41A8"/>
    <w:rsid w:val="502164A4"/>
    <w:rsid w:val="50304A0D"/>
    <w:rsid w:val="505F595F"/>
    <w:rsid w:val="507B30C6"/>
    <w:rsid w:val="507D618C"/>
    <w:rsid w:val="50AB15C0"/>
    <w:rsid w:val="50B36A0C"/>
    <w:rsid w:val="50CD66D5"/>
    <w:rsid w:val="50E31089"/>
    <w:rsid w:val="50E33187"/>
    <w:rsid w:val="51161CCC"/>
    <w:rsid w:val="511A1D35"/>
    <w:rsid w:val="512A04B1"/>
    <w:rsid w:val="51354BF7"/>
    <w:rsid w:val="5155491B"/>
    <w:rsid w:val="515D5132"/>
    <w:rsid w:val="51692F1E"/>
    <w:rsid w:val="517167E7"/>
    <w:rsid w:val="51885D38"/>
    <w:rsid w:val="51950C56"/>
    <w:rsid w:val="519558AE"/>
    <w:rsid w:val="519C6822"/>
    <w:rsid w:val="519D6DB7"/>
    <w:rsid w:val="519E65D1"/>
    <w:rsid w:val="51A279D7"/>
    <w:rsid w:val="51A343EB"/>
    <w:rsid w:val="51A62DFD"/>
    <w:rsid w:val="51A90C40"/>
    <w:rsid w:val="51C56DD5"/>
    <w:rsid w:val="51CC407F"/>
    <w:rsid w:val="51DD7767"/>
    <w:rsid w:val="51EC3D7A"/>
    <w:rsid w:val="51F931AF"/>
    <w:rsid w:val="52254F03"/>
    <w:rsid w:val="52286190"/>
    <w:rsid w:val="522B7A7A"/>
    <w:rsid w:val="523B13F5"/>
    <w:rsid w:val="52524CEC"/>
    <w:rsid w:val="525758F6"/>
    <w:rsid w:val="525C4A1A"/>
    <w:rsid w:val="52656ADD"/>
    <w:rsid w:val="528841F0"/>
    <w:rsid w:val="52A20323"/>
    <w:rsid w:val="52AA44A2"/>
    <w:rsid w:val="52B905DC"/>
    <w:rsid w:val="52BF0996"/>
    <w:rsid w:val="52E828B0"/>
    <w:rsid w:val="52F44EEA"/>
    <w:rsid w:val="52FD1675"/>
    <w:rsid w:val="53093884"/>
    <w:rsid w:val="530A2C23"/>
    <w:rsid w:val="533A2260"/>
    <w:rsid w:val="534E76F7"/>
    <w:rsid w:val="53617D1D"/>
    <w:rsid w:val="536A3AED"/>
    <w:rsid w:val="53725415"/>
    <w:rsid w:val="537E1270"/>
    <w:rsid w:val="53886D10"/>
    <w:rsid w:val="539D309E"/>
    <w:rsid w:val="53A54524"/>
    <w:rsid w:val="53A74AED"/>
    <w:rsid w:val="53A81CCF"/>
    <w:rsid w:val="53C66CBE"/>
    <w:rsid w:val="53DD5F66"/>
    <w:rsid w:val="53E320B0"/>
    <w:rsid w:val="544D280C"/>
    <w:rsid w:val="545111E4"/>
    <w:rsid w:val="54912EF5"/>
    <w:rsid w:val="54944A34"/>
    <w:rsid w:val="54A73C96"/>
    <w:rsid w:val="54B442FE"/>
    <w:rsid w:val="54CF4B4A"/>
    <w:rsid w:val="54D019BE"/>
    <w:rsid w:val="54F12FF7"/>
    <w:rsid w:val="550A1A28"/>
    <w:rsid w:val="55101203"/>
    <w:rsid w:val="551D0495"/>
    <w:rsid w:val="551F67C1"/>
    <w:rsid w:val="552D3977"/>
    <w:rsid w:val="5545273F"/>
    <w:rsid w:val="554D2192"/>
    <w:rsid w:val="555F0D72"/>
    <w:rsid w:val="55751398"/>
    <w:rsid w:val="55827DB6"/>
    <w:rsid w:val="55927265"/>
    <w:rsid w:val="55AE00F1"/>
    <w:rsid w:val="55B93254"/>
    <w:rsid w:val="55DC51A8"/>
    <w:rsid w:val="55DE6CF1"/>
    <w:rsid w:val="5603152E"/>
    <w:rsid w:val="56084121"/>
    <w:rsid w:val="560C7B36"/>
    <w:rsid w:val="56160B45"/>
    <w:rsid w:val="561D2636"/>
    <w:rsid w:val="56203D56"/>
    <w:rsid w:val="562637E2"/>
    <w:rsid w:val="563B59D4"/>
    <w:rsid w:val="5644243D"/>
    <w:rsid w:val="564674B0"/>
    <w:rsid w:val="56475DEB"/>
    <w:rsid w:val="56516E30"/>
    <w:rsid w:val="56533600"/>
    <w:rsid w:val="56560D49"/>
    <w:rsid w:val="565E15D2"/>
    <w:rsid w:val="568442B6"/>
    <w:rsid w:val="56A20296"/>
    <w:rsid w:val="56B048CC"/>
    <w:rsid w:val="56B407B4"/>
    <w:rsid w:val="56BD12B0"/>
    <w:rsid w:val="56C87572"/>
    <w:rsid w:val="56DB2373"/>
    <w:rsid w:val="56EC1029"/>
    <w:rsid w:val="570E2A10"/>
    <w:rsid w:val="5715236E"/>
    <w:rsid w:val="5715492E"/>
    <w:rsid w:val="57184752"/>
    <w:rsid w:val="571C5FCD"/>
    <w:rsid w:val="57253494"/>
    <w:rsid w:val="572D6771"/>
    <w:rsid w:val="573A01BE"/>
    <w:rsid w:val="57401E3B"/>
    <w:rsid w:val="5744649C"/>
    <w:rsid w:val="574B379B"/>
    <w:rsid w:val="575F7EFE"/>
    <w:rsid w:val="57AE03FD"/>
    <w:rsid w:val="57CF78B8"/>
    <w:rsid w:val="5800774E"/>
    <w:rsid w:val="581006E9"/>
    <w:rsid w:val="58116106"/>
    <w:rsid w:val="581A1EB5"/>
    <w:rsid w:val="5823123A"/>
    <w:rsid w:val="582A1B35"/>
    <w:rsid w:val="5849580B"/>
    <w:rsid w:val="585849AE"/>
    <w:rsid w:val="58667506"/>
    <w:rsid w:val="586E7582"/>
    <w:rsid w:val="58783A25"/>
    <w:rsid w:val="587937B7"/>
    <w:rsid w:val="58AD0820"/>
    <w:rsid w:val="58AF28FA"/>
    <w:rsid w:val="58B313A2"/>
    <w:rsid w:val="58B63F1B"/>
    <w:rsid w:val="58BA137F"/>
    <w:rsid w:val="58C82940"/>
    <w:rsid w:val="58F732C8"/>
    <w:rsid w:val="59100BD5"/>
    <w:rsid w:val="591A3B1A"/>
    <w:rsid w:val="591B6328"/>
    <w:rsid w:val="594D4286"/>
    <w:rsid w:val="595309D2"/>
    <w:rsid w:val="59564BFF"/>
    <w:rsid w:val="59567CDF"/>
    <w:rsid w:val="595D4436"/>
    <w:rsid w:val="596B7154"/>
    <w:rsid w:val="59794201"/>
    <w:rsid w:val="59841F7C"/>
    <w:rsid w:val="599D70C0"/>
    <w:rsid w:val="59A63953"/>
    <w:rsid w:val="59BA429B"/>
    <w:rsid w:val="59BC517F"/>
    <w:rsid w:val="59C83DBB"/>
    <w:rsid w:val="59CF3749"/>
    <w:rsid w:val="59E2334D"/>
    <w:rsid w:val="59E452C0"/>
    <w:rsid w:val="59E73111"/>
    <w:rsid w:val="59F327C0"/>
    <w:rsid w:val="5A186656"/>
    <w:rsid w:val="5A203D1A"/>
    <w:rsid w:val="5A205295"/>
    <w:rsid w:val="5A251A20"/>
    <w:rsid w:val="5A2F221E"/>
    <w:rsid w:val="5A3F5D1C"/>
    <w:rsid w:val="5A410AC8"/>
    <w:rsid w:val="5A5669FA"/>
    <w:rsid w:val="5A7F02D5"/>
    <w:rsid w:val="5A7F3323"/>
    <w:rsid w:val="5A9168E5"/>
    <w:rsid w:val="5AB72F65"/>
    <w:rsid w:val="5AD40E79"/>
    <w:rsid w:val="5AD54E39"/>
    <w:rsid w:val="5AFE2CE0"/>
    <w:rsid w:val="5B2755DE"/>
    <w:rsid w:val="5B2F1BD1"/>
    <w:rsid w:val="5B43243E"/>
    <w:rsid w:val="5B445A1B"/>
    <w:rsid w:val="5B801E99"/>
    <w:rsid w:val="5B846B4C"/>
    <w:rsid w:val="5B8764AE"/>
    <w:rsid w:val="5B9356CB"/>
    <w:rsid w:val="5B984AF9"/>
    <w:rsid w:val="5BAF64DC"/>
    <w:rsid w:val="5BB4169B"/>
    <w:rsid w:val="5BB91BB4"/>
    <w:rsid w:val="5BBC5927"/>
    <w:rsid w:val="5BCD3B9F"/>
    <w:rsid w:val="5BE7277D"/>
    <w:rsid w:val="5BEC0E4B"/>
    <w:rsid w:val="5BF07946"/>
    <w:rsid w:val="5BFF64C0"/>
    <w:rsid w:val="5C005156"/>
    <w:rsid w:val="5C1F2D39"/>
    <w:rsid w:val="5C426F98"/>
    <w:rsid w:val="5C593BE2"/>
    <w:rsid w:val="5C746C1C"/>
    <w:rsid w:val="5C773121"/>
    <w:rsid w:val="5CC3211B"/>
    <w:rsid w:val="5CD80B50"/>
    <w:rsid w:val="5CD84FFE"/>
    <w:rsid w:val="5CE23517"/>
    <w:rsid w:val="5CEE17DB"/>
    <w:rsid w:val="5CF823D4"/>
    <w:rsid w:val="5D061846"/>
    <w:rsid w:val="5D1338E1"/>
    <w:rsid w:val="5D2714EF"/>
    <w:rsid w:val="5D2A15DA"/>
    <w:rsid w:val="5D2C636B"/>
    <w:rsid w:val="5D3937EF"/>
    <w:rsid w:val="5D430BEC"/>
    <w:rsid w:val="5D593C9E"/>
    <w:rsid w:val="5D6D722F"/>
    <w:rsid w:val="5D751A66"/>
    <w:rsid w:val="5D7E14C4"/>
    <w:rsid w:val="5D7E3D46"/>
    <w:rsid w:val="5D87769C"/>
    <w:rsid w:val="5D877E15"/>
    <w:rsid w:val="5D8F0423"/>
    <w:rsid w:val="5DA81D58"/>
    <w:rsid w:val="5DCD5BC7"/>
    <w:rsid w:val="5DD0375B"/>
    <w:rsid w:val="5DDE5651"/>
    <w:rsid w:val="5DE57176"/>
    <w:rsid w:val="5DFD1CB9"/>
    <w:rsid w:val="5E1C4E15"/>
    <w:rsid w:val="5E1D49C2"/>
    <w:rsid w:val="5E262CCF"/>
    <w:rsid w:val="5E4162F7"/>
    <w:rsid w:val="5E5231B7"/>
    <w:rsid w:val="5E6007F8"/>
    <w:rsid w:val="5E601C59"/>
    <w:rsid w:val="5E62015C"/>
    <w:rsid w:val="5E67355C"/>
    <w:rsid w:val="5E6B632B"/>
    <w:rsid w:val="5E6B7B67"/>
    <w:rsid w:val="5E861629"/>
    <w:rsid w:val="5E8855C7"/>
    <w:rsid w:val="5E922936"/>
    <w:rsid w:val="5EC049FD"/>
    <w:rsid w:val="5EC84DA5"/>
    <w:rsid w:val="5EDA5344"/>
    <w:rsid w:val="5F0266F7"/>
    <w:rsid w:val="5F0E5B21"/>
    <w:rsid w:val="5F26127E"/>
    <w:rsid w:val="5F2D4D96"/>
    <w:rsid w:val="5F2D75F2"/>
    <w:rsid w:val="5F3228CD"/>
    <w:rsid w:val="5F346C30"/>
    <w:rsid w:val="5F3B46FD"/>
    <w:rsid w:val="5F4F4554"/>
    <w:rsid w:val="5F5E7774"/>
    <w:rsid w:val="5F85721C"/>
    <w:rsid w:val="5F916BFA"/>
    <w:rsid w:val="5F9C5AC3"/>
    <w:rsid w:val="5FBF6040"/>
    <w:rsid w:val="5FEB49CC"/>
    <w:rsid w:val="5FEE572E"/>
    <w:rsid w:val="5FF336D2"/>
    <w:rsid w:val="5FFE3911"/>
    <w:rsid w:val="60133C51"/>
    <w:rsid w:val="60164E5C"/>
    <w:rsid w:val="602C1AA2"/>
    <w:rsid w:val="6064468D"/>
    <w:rsid w:val="60C24ECA"/>
    <w:rsid w:val="60C53248"/>
    <w:rsid w:val="60E54A1A"/>
    <w:rsid w:val="60F97509"/>
    <w:rsid w:val="61086C6C"/>
    <w:rsid w:val="610954ED"/>
    <w:rsid w:val="61105954"/>
    <w:rsid w:val="6110668C"/>
    <w:rsid w:val="61131850"/>
    <w:rsid w:val="612710F5"/>
    <w:rsid w:val="612B4DC4"/>
    <w:rsid w:val="61316DDB"/>
    <w:rsid w:val="614370EE"/>
    <w:rsid w:val="614E657B"/>
    <w:rsid w:val="617156CA"/>
    <w:rsid w:val="617C0021"/>
    <w:rsid w:val="618E136D"/>
    <w:rsid w:val="61916513"/>
    <w:rsid w:val="61A35A97"/>
    <w:rsid w:val="61A871DD"/>
    <w:rsid w:val="61B756AA"/>
    <w:rsid w:val="61DA5F1D"/>
    <w:rsid w:val="61F27CBF"/>
    <w:rsid w:val="61F570B9"/>
    <w:rsid w:val="62251865"/>
    <w:rsid w:val="622B5E85"/>
    <w:rsid w:val="62395A8E"/>
    <w:rsid w:val="623A3068"/>
    <w:rsid w:val="624C08F2"/>
    <w:rsid w:val="625277CA"/>
    <w:rsid w:val="626900A3"/>
    <w:rsid w:val="62A5222E"/>
    <w:rsid w:val="62AF164E"/>
    <w:rsid w:val="62BD381A"/>
    <w:rsid w:val="62EA3A91"/>
    <w:rsid w:val="62EF277B"/>
    <w:rsid w:val="62F2723C"/>
    <w:rsid w:val="62F448F2"/>
    <w:rsid w:val="630E2CB2"/>
    <w:rsid w:val="63170EA2"/>
    <w:rsid w:val="634B2324"/>
    <w:rsid w:val="636B2124"/>
    <w:rsid w:val="637040BE"/>
    <w:rsid w:val="638A295E"/>
    <w:rsid w:val="63987668"/>
    <w:rsid w:val="63CA2732"/>
    <w:rsid w:val="63DF0868"/>
    <w:rsid w:val="63FE0957"/>
    <w:rsid w:val="64322506"/>
    <w:rsid w:val="645A393C"/>
    <w:rsid w:val="645B1C67"/>
    <w:rsid w:val="646D7406"/>
    <w:rsid w:val="647D2BD9"/>
    <w:rsid w:val="647D7F98"/>
    <w:rsid w:val="648E18E0"/>
    <w:rsid w:val="649777A9"/>
    <w:rsid w:val="64A61FC8"/>
    <w:rsid w:val="64A81D79"/>
    <w:rsid w:val="64BA1F43"/>
    <w:rsid w:val="64E114A4"/>
    <w:rsid w:val="64E75479"/>
    <w:rsid w:val="650C38EB"/>
    <w:rsid w:val="6513273E"/>
    <w:rsid w:val="651F1AB3"/>
    <w:rsid w:val="652D7665"/>
    <w:rsid w:val="652E4AF7"/>
    <w:rsid w:val="653456E1"/>
    <w:rsid w:val="65441574"/>
    <w:rsid w:val="65455DD6"/>
    <w:rsid w:val="6557285B"/>
    <w:rsid w:val="65590F62"/>
    <w:rsid w:val="65934F41"/>
    <w:rsid w:val="65B84C90"/>
    <w:rsid w:val="65B97A7B"/>
    <w:rsid w:val="65BD40B4"/>
    <w:rsid w:val="65C06F6D"/>
    <w:rsid w:val="65C55927"/>
    <w:rsid w:val="65C86B87"/>
    <w:rsid w:val="65E42576"/>
    <w:rsid w:val="65F92AFE"/>
    <w:rsid w:val="66007621"/>
    <w:rsid w:val="663D014B"/>
    <w:rsid w:val="6650740D"/>
    <w:rsid w:val="665601DE"/>
    <w:rsid w:val="665A62C8"/>
    <w:rsid w:val="668E64A3"/>
    <w:rsid w:val="66A70090"/>
    <w:rsid w:val="66AC4120"/>
    <w:rsid w:val="66CD24D5"/>
    <w:rsid w:val="66FB2003"/>
    <w:rsid w:val="670615FF"/>
    <w:rsid w:val="67191DE2"/>
    <w:rsid w:val="6720558A"/>
    <w:rsid w:val="672467BE"/>
    <w:rsid w:val="672D2D3E"/>
    <w:rsid w:val="67350CDB"/>
    <w:rsid w:val="674532FC"/>
    <w:rsid w:val="67460A38"/>
    <w:rsid w:val="675C2A65"/>
    <w:rsid w:val="677C5D98"/>
    <w:rsid w:val="67903162"/>
    <w:rsid w:val="67946933"/>
    <w:rsid w:val="67A05366"/>
    <w:rsid w:val="67A4536C"/>
    <w:rsid w:val="67AC4735"/>
    <w:rsid w:val="67B00D93"/>
    <w:rsid w:val="67BC0E36"/>
    <w:rsid w:val="67C0684A"/>
    <w:rsid w:val="67DD3E34"/>
    <w:rsid w:val="67FD3982"/>
    <w:rsid w:val="68143997"/>
    <w:rsid w:val="682C2005"/>
    <w:rsid w:val="68320C40"/>
    <w:rsid w:val="687566B8"/>
    <w:rsid w:val="688B7E15"/>
    <w:rsid w:val="68A620EE"/>
    <w:rsid w:val="68C11EA3"/>
    <w:rsid w:val="68C30447"/>
    <w:rsid w:val="68FF6510"/>
    <w:rsid w:val="691463EF"/>
    <w:rsid w:val="691B34A7"/>
    <w:rsid w:val="695615BD"/>
    <w:rsid w:val="69895B21"/>
    <w:rsid w:val="69934794"/>
    <w:rsid w:val="69D33B83"/>
    <w:rsid w:val="6A13309D"/>
    <w:rsid w:val="6A1E6DBE"/>
    <w:rsid w:val="6A26379F"/>
    <w:rsid w:val="6A2D329F"/>
    <w:rsid w:val="6A2D58DD"/>
    <w:rsid w:val="6A34497D"/>
    <w:rsid w:val="6A466123"/>
    <w:rsid w:val="6A4B04FF"/>
    <w:rsid w:val="6A5D40A2"/>
    <w:rsid w:val="6A5F1C2E"/>
    <w:rsid w:val="6A6602A2"/>
    <w:rsid w:val="6A6C2FE6"/>
    <w:rsid w:val="6A9325E1"/>
    <w:rsid w:val="6AA12EE1"/>
    <w:rsid w:val="6AA43C9C"/>
    <w:rsid w:val="6AA94572"/>
    <w:rsid w:val="6AAE4F9B"/>
    <w:rsid w:val="6AB57C02"/>
    <w:rsid w:val="6ADF0A3E"/>
    <w:rsid w:val="6AF809FB"/>
    <w:rsid w:val="6AFF0923"/>
    <w:rsid w:val="6B0C03FD"/>
    <w:rsid w:val="6B0E5A01"/>
    <w:rsid w:val="6B250B66"/>
    <w:rsid w:val="6B2C2498"/>
    <w:rsid w:val="6B4328E9"/>
    <w:rsid w:val="6B4B1D2A"/>
    <w:rsid w:val="6B592DBF"/>
    <w:rsid w:val="6B5E0661"/>
    <w:rsid w:val="6B750ABF"/>
    <w:rsid w:val="6B970252"/>
    <w:rsid w:val="6BA269E1"/>
    <w:rsid w:val="6BBA0FA4"/>
    <w:rsid w:val="6BBC4442"/>
    <w:rsid w:val="6BC42472"/>
    <w:rsid w:val="6BE03CAA"/>
    <w:rsid w:val="6BE5125A"/>
    <w:rsid w:val="6C130BEC"/>
    <w:rsid w:val="6C22405B"/>
    <w:rsid w:val="6C2E3930"/>
    <w:rsid w:val="6C544E3F"/>
    <w:rsid w:val="6C7442A8"/>
    <w:rsid w:val="6CB148F2"/>
    <w:rsid w:val="6CC35DA3"/>
    <w:rsid w:val="6CF50876"/>
    <w:rsid w:val="6CF65200"/>
    <w:rsid w:val="6CFD60D2"/>
    <w:rsid w:val="6D0346B6"/>
    <w:rsid w:val="6D173B64"/>
    <w:rsid w:val="6D1D436D"/>
    <w:rsid w:val="6D2309D8"/>
    <w:rsid w:val="6D320F7F"/>
    <w:rsid w:val="6D486066"/>
    <w:rsid w:val="6D7D5782"/>
    <w:rsid w:val="6DA97FE8"/>
    <w:rsid w:val="6DAF6492"/>
    <w:rsid w:val="6DB1452F"/>
    <w:rsid w:val="6DB8641D"/>
    <w:rsid w:val="6DC00409"/>
    <w:rsid w:val="6DC07C08"/>
    <w:rsid w:val="6DC91C15"/>
    <w:rsid w:val="6DD56419"/>
    <w:rsid w:val="6DDD79F6"/>
    <w:rsid w:val="6DFB667D"/>
    <w:rsid w:val="6DFC3465"/>
    <w:rsid w:val="6E030CB3"/>
    <w:rsid w:val="6E176935"/>
    <w:rsid w:val="6E704D2C"/>
    <w:rsid w:val="6E9E6326"/>
    <w:rsid w:val="6EA95298"/>
    <w:rsid w:val="6EB5075B"/>
    <w:rsid w:val="6EBE4A6A"/>
    <w:rsid w:val="6ECE201A"/>
    <w:rsid w:val="6EFC2663"/>
    <w:rsid w:val="6F066B83"/>
    <w:rsid w:val="6F193F72"/>
    <w:rsid w:val="6F3362C4"/>
    <w:rsid w:val="6F5A350D"/>
    <w:rsid w:val="6F704710"/>
    <w:rsid w:val="6F7619CB"/>
    <w:rsid w:val="6F913D52"/>
    <w:rsid w:val="6FA06C16"/>
    <w:rsid w:val="6FA44699"/>
    <w:rsid w:val="6FDA7B49"/>
    <w:rsid w:val="6FE70574"/>
    <w:rsid w:val="6FF818C4"/>
    <w:rsid w:val="70110D20"/>
    <w:rsid w:val="701C7E6C"/>
    <w:rsid w:val="70370428"/>
    <w:rsid w:val="704571B4"/>
    <w:rsid w:val="704F66AB"/>
    <w:rsid w:val="706D0A00"/>
    <w:rsid w:val="706E354F"/>
    <w:rsid w:val="70A2088F"/>
    <w:rsid w:val="70B31990"/>
    <w:rsid w:val="70BE22BB"/>
    <w:rsid w:val="70E0367B"/>
    <w:rsid w:val="70E21165"/>
    <w:rsid w:val="70F34077"/>
    <w:rsid w:val="70F445EC"/>
    <w:rsid w:val="710A0E7A"/>
    <w:rsid w:val="714E1EEF"/>
    <w:rsid w:val="715847BC"/>
    <w:rsid w:val="71767B87"/>
    <w:rsid w:val="718667A2"/>
    <w:rsid w:val="719B2FB0"/>
    <w:rsid w:val="71A96FFF"/>
    <w:rsid w:val="71AD40B1"/>
    <w:rsid w:val="71AF5C7D"/>
    <w:rsid w:val="71C76389"/>
    <w:rsid w:val="71E8600A"/>
    <w:rsid w:val="721F312A"/>
    <w:rsid w:val="722D256A"/>
    <w:rsid w:val="723379C4"/>
    <w:rsid w:val="72453800"/>
    <w:rsid w:val="724D4125"/>
    <w:rsid w:val="72771C08"/>
    <w:rsid w:val="728E2F1E"/>
    <w:rsid w:val="72D16AC8"/>
    <w:rsid w:val="72E040D2"/>
    <w:rsid w:val="7302175D"/>
    <w:rsid w:val="7306407B"/>
    <w:rsid w:val="7307234A"/>
    <w:rsid w:val="732D1C26"/>
    <w:rsid w:val="733A7273"/>
    <w:rsid w:val="73465833"/>
    <w:rsid w:val="73550DBD"/>
    <w:rsid w:val="73622A3C"/>
    <w:rsid w:val="736571B8"/>
    <w:rsid w:val="73765628"/>
    <w:rsid w:val="73D0342D"/>
    <w:rsid w:val="73D27EBE"/>
    <w:rsid w:val="73DB307B"/>
    <w:rsid w:val="73EF7D95"/>
    <w:rsid w:val="740C5FC7"/>
    <w:rsid w:val="74150086"/>
    <w:rsid w:val="74247195"/>
    <w:rsid w:val="742C0ECA"/>
    <w:rsid w:val="744F4A7E"/>
    <w:rsid w:val="7465182A"/>
    <w:rsid w:val="747B36E3"/>
    <w:rsid w:val="747D54DD"/>
    <w:rsid w:val="7486181E"/>
    <w:rsid w:val="748A1CB1"/>
    <w:rsid w:val="74E44096"/>
    <w:rsid w:val="74EA6E88"/>
    <w:rsid w:val="74EB16DA"/>
    <w:rsid w:val="74EE2B1D"/>
    <w:rsid w:val="7501174A"/>
    <w:rsid w:val="751542B5"/>
    <w:rsid w:val="75287F6C"/>
    <w:rsid w:val="75303D68"/>
    <w:rsid w:val="75364455"/>
    <w:rsid w:val="753D3F2B"/>
    <w:rsid w:val="75442A78"/>
    <w:rsid w:val="754A251B"/>
    <w:rsid w:val="754A7A59"/>
    <w:rsid w:val="757D0E7B"/>
    <w:rsid w:val="757E77CA"/>
    <w:rsid w:val="758374FB"/>
    <w:rsid w:val="75986E28"/>
    <w:rsid w:val="75A666DC"/>
    <w:rsid w:val="75A957CB"/>
    <w:rsid w:val="75EE44CC"/>
    <w:rsid w:val="75FA38FB"/>
    <w:rsid w:val="760A112C"/>
    <w:rsid w:val="764768E2"/>
    <w:rsid w:val="765B3907"/>
    <w:rsid w:val="76707016"/>
    <w:rsid w:val="76791CB6"/>
    <w:rsid w:val="76854A7E"/>
    <w:rsid w:val="76884178"/>
    <w:rsid w:val="768D19D5"/>
    <w:rsid w:val="768D20CC"/>
    <w:rsid w:val="76936711"/>
    <w:rsid w:val="76BD1939"/>
    <w:rsid w:val="76E53049"/>
    <w:rsid w:val="76EA41F8"/>
    <w:rsid w:val="76ED7AB8"/>
    <w:rsid w:val="770C3D7F"/>
    <w:rsid w:val="77195245"/>
    <w:rsid w:val="7723479A"/>
    <w:rsid w:val="773652BA"/>
    <w:rsid w:val="77451D65"/>
    <w:rsid w:val="77495621"/>
    <w:rsid w:val="774D7896"/>
    <w:rsid w:val="77516F44"/>
    <w:rsid w:val="77551C09"/>
    <w:rsid w:val="77753D32"/>
    <w:rsid w:val="779B1DE8"/>
    <w:rsid w:val="77B04A83"/>
    <w:rsid w:val="77B87444"/>
    <w:rsid w:val="77BF7DFC"/>
    <w:rsid w:val="780C09DD"/>
    <w:rsid w:val="78417500"/>
    <w:rsid w:val="787E044B"/>
    <w:rsid w:val="787F6DD2"/>
    <w:rsid w:val="788C47D8"/>
    <w:rsid w:val="789E125A"/>
    <w:rsid w:val="78A12A11"/>
    <w:rsid w:val="78B17B07"/>
    <w:rsid w:val="78B47152"/>
    <w:rsid w:val="78BE3171"/>
    <w:rsid w:val="78DB45D9"/>
    <w:rsid w:val="78DE1548"/>
    <w:rsid w:val="790F6597"/>
    <w:rsid w:val="79404A5D"/>
    <w:rsid w:val="795B5005"/>
    <w:rsid w:val="79601B4F"/>
    <w:rsid w:val="796E39F9"/>
    <w:rsid w:val="797B2A81"/>
    <w:rsid w:val="79894A6E"/>
    <w:rsid w:val="79995E87"/>
    <w:rsid w:val="79B46537"/>
    <w:rsid w:val="79B6544C"/>
    <w:rsid w:val="79CD4894"/>
    <w:rsid w:val="79FB5701"/>
    <w:rsid w:val="7A195037"/>
    <w:rsid w:val="7A1A39B4"/>
    <w:rsid w:val="7A390195"/>
    <w:rsid w:val="7A572D93"/>
    <w:rsid w:val="7A6F2149"/>
    <w:rsid w:val="7A79120A"/>
    <w:rsid w:val="7A7F03D1"/>
    <w:rsid w:val="7AA8724F"/>
    <w:rsid w:val="7AAC5144"/>
    <w:rsid w:val="7ABE635D"/>
    <w:rsid w:val="7AD37EB1"/>
    <w:rsid w:val="7AE20D92"/>
    <w:rsid w:val="7AF04995"/>
    <w:rsid w:val="7AFF0D7C"/>
    <w:rsid w:val="7B037B3F"/>
    <w:rsid w:val="7B0400B3"/>
    <w:rsid w:val="7B0831AE"/>
    <w:rsid w:val="7B0E2BD9"/>
    <w:rsid w:val="7B2B4EE4"/>
    <w:rsid w:val="7B3F12C0"/>
    <w:rsid w:val="7BA32842"/>
    <w:rsid w:val="7BB333E6"/>
    <w:rsid w:val="7BC40DCA"/>
    <w:rsid w:val="7BCB0F97"/>
    <w:rsid w:val="7BE270BF"/>
    <w:rsid w:val="7BE9565C"/>
    <w:rsid w:val="7BF857D4"/>
    <w:rsid w:val="7C0E201B"/>
    <w:rsid w:val="7C352A69"/>
    <w:rsid w:val="7C5A4DE7"/>
    <w:rsid w:val="7C6056C3"/>
    <w:rsid w:val="7C6636B0"/>
    <w:rsid w:val="7C8E1BC3"/>
    <w:rsid w:val="7C8F4DF7"/>
    <w:rsid w:val="7CC10021"/>
    <w:rsid w:val="7CD2349D"/>
    <w:rsid w:val="7CE91F05"/>
    <w:rsid w:val="7CEC1517"/>
    <w:rsid w:val="7D046F37"/>
    <w:rsid w:val="7D0F2F2A"/>
    <w:rsid w:val="7D1537C4"/>
    <w:rsid w:val="7D325F0B"/>
    <w:rsid w:val="7D3751BD"/>
    <w:rsid w:val="7D427AD4"/>
    <w:rsid w:val="7D5804A9"/>
    <w:rsid w:val="7D931507"/>
    <w:rsid w:val="7D9F41BB"/>
    <w:rsid w:val="7D9F6117"/>
    <w:rsid w:val="7DA235FE"/>
    <w:rsid w:val="7DA46073"/>
    <w:rsid w:val="7DB16041"/>
    <w:rsid w:val="7DBA26DE"/>
    <w:rsid w:val="7DBF3545"/>
    <w:rsid w:val="7DF24C68"/>
    <w:rsid w:val="7DF524C5"/>
    <w:rsid w:val="7E087E22"/>
    <w:rsid w:val="7E7E4C91"/>
    <w:rsid w:val="7E862516"/>
    <w:rsid w:val="7E8E5540"/>
    <w:rsid w:val="7E8F4979"/>
    <w:rsid w:val="7E960CA9"/>
    <w:rsid w:val="7E9C3765"/>
    <w:rsid w:val="7EB81754"/>
    <w:rsid w:val="7ED50142"/>
    <w:rsid w:val="7EDC4E14"/>
    <w:rsid w:val="7EF565F2"/>
    <w:rsid w:val="7F00789B"/>
    <w:rsid w:val="7F0B5D0F"/>
    <w:rsid w:val="7F130336"/>
    <w:rsid w:val="7F344DBF"/>
    <w:rsid w:val="7F3E1DAF"/>
    <w:rsid w:val="7F4C6D7A"/>
    <w:rsid w:val="7F5C10AF"/>
    <w:rsid w:val="7F5D5AB0"/>
    <w:rsid w:val="7F5E0D4D"/>
    <w:rsid w:val="7F614DE1"/>
    <w:rsid w:val="7F6A522E"/>
    <w:rsid w:val="7F786C5C"/>
    <w:rsid w:val="7F894FA8"/>
    <w:rsid w:val="7F9E669B"/>
    <w:rsid w:val="7FB21B9A"/>
    <w:rsid w:val="7FCF329D"/>
    <w:rsid w:val="7FD046A5"/>
    <w:rsid w:val="7FDA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line="340" w:lineRule="exact"/>
      <w:ind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paragraph" w:styleId="6">
    <w:name w:val="footnote text"/>
    <w:basedOn w:val="1"/>
    <w:unhideWhenUsed/>
    <w:qFormat/>
    <w:uiPriority w:val="99"/>
    <w:pPr>
      <w:snapToGrid w:val="0"/>
      <w:spacing w:beforeLines="0" w:afterLines="0"/>
      <w:jc w:val="left"/>
    </w:pPr>
    <w:rPr>
      <w:rFonts w:hint="eastAsia"/>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footnote reference"/>
    <w:basedOn w:val="9"/>
    <w:unhideWhenUsed/>
    <w:qFormat/>
    <w:uiPriority w:val="99"/>
    <w:rPr>
      <w:rFonts w:hint="default"/>
      <w:sz w:val="24"/>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2024-03-29T10:11:00Z</dcterms:created>
  <dc:creator>经常处陈雄</dc:creator>
  <cp:lastModifiedBy>经常处陈雄</cp:lastModifiedBy>
  <cp:lastPrinted>2024-04-25T08:45:00Z</cp:lastPrinted>
  <dcterms:modified xsi:type="dcterms:W3CDTF">2024-04-26T06:43:38Z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F925A84CCA7040C1A915A4FB187B7490</vt:lpwstr>
  </property>
</Properties>
</file>