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widowControl/>
        <w:spacing w:line="560" w:lineRule="exact"/>
        <w:jc w:val="center"/>
        <w:rPr>
          <w:rFonts w:ascii="黑体" w:hAnsi="黑体" w:eastAsia="黑体"/>
          <w:b/>
          <w:bCs/>
          <w:sz w:val="36"/>
          <w:szCs w:val="36"/>
        </w:rPr>
      </w:pPr>
      <w:r>
        <w:rPr>
          <w:rFonts w:hint="eastAsia" w:ascii="黑体" w:hAnsi="黑体" w:eastAsia="黑体"/>
          <w:b/>
          <w:bCs/>
          <w:sz w:val="36"/>
          <w:szCs w:val="36"/>
        </w:rPr>
        <w:t>上海市科技金融专业机构指标体系表</w:t>
      </w:r>
    </w:p>
    <w:p>
      <w:pPr>
        <w:widowControl/>
        <w:spacing w:line="560" w:lineRule="exact"/>
        <w:jc w:val="center"/>
        <w:rPr>
          <w:rFonts w:ascii="黑体" w:hAnsi="黑体" w:eastAsia="黑体"/>
          <w:b/>
          <w:bCs/>
          <w:sz w:val="36"/>
          <w:szCs w:val="36"/>
        </w:rPr>
      </w:pPr>
    </w:p>
    <w:p>
      <w:pPr>
        <w:widowControl/>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本指标表为辖内科技支行评估和考核标准，包括定性和定量给分。定量分值包括：科技型企业贷款余额、科技型企业贷款余额占比（占对公贷款）、科技型中小企业贷款余额、科技型中小企业贷款户数、科技型中小企业余额占比（占科技类）、科技型企业抵押贷款余额占比、知识产权质押贷款余额、知识产权质押贷款户数、当年累放科技型企业首贷户户数。定性分值包括：专营体制机制建设完善、专职科技人员规模、园区支持需求、示范带头效应、当年度增长情况、各项重点工作及特色示范业务探索开展情况。</w:t>
      </w:r>
    </w:p>
    <w:p>
      <w:pPr>
        <w:widowControl/>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各分值项目以</w:t>
      </w:r>
      <w:r>
        <w:rPr>
          <w:rFonts w:hint="default" w:ascii="仿宋_GB2312" w:hAnsi="仿宋" w:eastAsia="仿宋_GB2312" w:cs="仿宋"/>
          <w:sz w:val="30"/>
          <w:szCs w:val="30"/>
        </w:rPr>
        <w:t>区域特色报表</w:t>
      </w:r>
      <w:r>
        <w:rPr>
          <w:rFonts w:hint="eastAsia" w:ascii="仿宋_GB2312" w:hAnsi="仿宋" w:eastAsia="仿宋_GB2312" w:cs="仿宋"/>
          <w:sz w:val="30"/>
          <w:szCs w:val="30"/>
        </w:rPr>
        <w:t>Q37《科技</w:t>
      </w:r>
      <w:r>
        <w:rPr>
          <w:rFonts w:ascii="仿宋_GB2312" w:hAnsi="仿宋" w:eastAsia="仿宋_GB2312" w:cs="仿宋"/>
          <w:sz w:val="30"/>
          <w:szCs w:val="30"/>
        </w:rPr>
        <w:t>金融统计监测表》</w:t>
      </w:r>
      <w:r>
        <w:rPr>
          <w:rFonts w:hint="eastAsia" w:ascii="仿宋_GB2312" w:hAnsi="仿宋" w:eastAsia="仿宋_GB2312" w:cs="仿宋"/>
          <w:sz w:val="30"/>
          <w:szCs w:val="30"/>
        </w:rPr>
        <w:t>填报标准为准。根据综合性管理支行和单一经营支行</w:t>
      </w:r>
      <w:bookmarkStart w:id="0" w:name="_GoBack"/>
      <w:bookmarkEnd w:id="0"/>
      <w:r>
        <w:rPr>
          <w:rFonts w:hint="eastAsia" w:ascii="仿宋_GB2312" w:hAnsi="仿宋" w:eastAsia="仿宋_GB2312" w:cs="仿宋"/>
          <w:sz w:val="30"/>
          <w:szCs w:val="30"/>
        </w:rPr>
        <w:t>/网点，采取不同的封顶及计算方式。本表包含两类计算规则：线性计算规则和曲线计算规则。其中曲线规则根据达到目标数值百分比不同得分参考下表（以满分10分为</w:t>
      </w:r>
      <w:r>
        <w:rPr>
          <w:rFonts w:ascii="仿宋_GB2312" w:hAnsi="仿宋" w:eastAsia="仿宋_GB2312" w:cs="仿宋"/>
          <w:sz w:val="30"/>
          <w:szCs w:val="30"/>
        </w:rPr>
        <w:t>例</w:t>
      </w:r>
      <w:r>
        <w:rPr>
          <w:rFonts w:hint="eastAsia" w:ascii="仿宋_GB2312" w:hAnsi="仿宋" w:eastAsia="仿宋_GB2312" w:cs="仿宋"/>
          <w:sz w:val="30"/>
          <w:szCs w:val="3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widowControl/>
              <w:spacing w:line="560" w:lineRule="exact"/>
              <w:jc w:val="center"/>
              <w:rPr>
                <w:rFonts w:ascii="仿宋_GB2312" w:eastAsia="仿宋_GB2312"/>
                <w:b/>
                <w:sz w:val="30"/>
                <w:szCs w:val="30"/>
              </w:rPr>
            </w:pPr>
            <w:r>
              <w:rPr>
                <w:rFonts w:hint="eastAsia" w:ascii="仿宋_GB2312" w:eastAsia="仿宋_GB2312"/>
                <w:b/>
                <w:sz w:val="30"/>
                <w:szCs w:val="30"/>
              </w:rPr>
              <w:t>百分比</w:t>
            </w:r>
          </w:p>
        </w:tc>
        <w:tc>
          <w:tcPr>
            <w:tcW w:w="1247" w:type="dxa"/>
            <w:vAlign w:val="center"/>
          </w:tcPr>
          <w:p>
            <w:pPr>
              <w:spacing w:line="56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20%</w:t>
            </w:r>
          </w:p>
        </w:tc>
        <w:tc>
          <w:tcPr>
            <w:tcW w:w="1247" w:type="dxa"/>
            <w:vAlign w:val="center"/>
          </w:tcPr>
          <w:p>
            <w:pPr>
              <w:spacing w:line="560" w:lineRule="exact"/>
              <w:jc w:val="center"/>
              <w:rPr>
                <w:rFonts w:ascii="仿宋_GB2312" w:eastAsia="仿宋_GB2312"/>
                <w:b/>
                <w:color w:val="000000"/>
                <w:sz w:val="30"/>
                <w:szCs w:val="30"/>
              </w:rPr>
            </w:pPr>
            <w:r>
              <w:rPr>
                <w:rFonts w:hint="eastAsia" w:ascii="仿宋_GB2312" w:eastAsia="仿宋_GB2312"/>
                <w:b/>
                <w:color w:val="000000"/>
                <w:sz w:val="30"/>
                <w:szCs w:val="30"/>
              </w:rPr>
              <w:t>40%</w:t>
            </w:r>
          </w:p>
        </w:tc>
        <w:tc>
          <w:tcPr>
            <w:tcW w:w="1247" w:type="dxa"/>
            <w:vAlign w:val="center"/>
          </w:tcPr>
          <w:p>
            <w:pPr>
              <w:spacing w:line="560" w:lineRule="exact"/>
              <w:jc w:val="center"/>
              <w:rPr>
                <w:rFonts w:ascii="仿宋_GB2312" w:eastAsia="仿宋_GB2312"/>
                <w:b/>
                <w:color w:val="000000"/>
                <w:sz w:val="30"/>
                <w:szCs w:val="30"/>
              </w:rPr>
            </w:pPr>
            <w:r>
              <w:rPr>
                <w:rFonts w:hint="eastAsia" w:ascii="仿宋_GB2312" w:eastAsia="仿宋_GB2312"/>
                <w:b/>
                <w:color w:val="000000"/>
                <w:sz w:val="30"/>
                <w:szCs w:val="30"/>
              </w:rPr>
              <w:t>50%</w:t>
            </w:r>
          </w:p>
        </w:tc>
        <w:tc>
          <w:tcPr>
            <w:tcW w:w="1247" w:type="dxa"/>
            <w:vAlign w:val="center"/>
          </w:tcPr>
          <w:p>
            <w:pPr>
              <w:spacing w:line="560" w:lineRule="exact"/>
              <w:jc w:val="center"/>
              <w:rPr>
                <w:rFonts w:ascii="仿宋_GB2312" w:eastAsia="仿宋_GB2312"/>
                <w:b/>
                <w:color w:val="000000"/>
                <w:sz w:val="30"/>
                <w:szCs w:val="30"/>
              </w:rPr>
            </w:pPr>
            <w:r>
              <w:rPr>
                <w:rFonts w:hint="eastAsia" w:ascii="仿宋_GB2312" w:eastAsia="仿宋_GB2312"/>
                <w:b/>
                <w:color w:val="000000"/>
                <w:sz w:val="30"/>
                <w:szCs w:val="30"/>
              </w:rPr>
              <w:t>60%</w:t>
            </w:r>
          </w:p>
        </w:tc>
        <w:tc>
          <w:tcPr>
            <w:tcW w:w="1247" w:type="dxa"/>
            <w:vAlign w:val="center"/>
          </w:tcPr>
          <w:p>
            <w:pPr>
              <w:spacing w:line="560" w:lineRule="exact"/>
              <w:jc w:val="center"/>
              <w:rPr>
                <w:rFonts w:ascii="仿宋_GB2312" w:eastAsia="仿宋_GB2312"/>
                <w:b/>
                <w:color w:val="000000"/>
                <w:sz w:val="30"/>
                <w:szCs w:val="30"/>
              </w:rPr>
            </w:pPr>
            <w:r>
              <w:rPr>
                <w:rFonts w:hint="eastAsia" w:ascii="仿宋_GB2312" w:eastAsia="仿宋_GB2312"/>
                <w:b/>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申请及考核起始当年</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4.5</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6.7</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7.4</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8.1</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第二、</w:t>
            </w:r>
            <w:r>
              <w:rPr>
                <w:rFonts w:ascii="仿宋_GB2312" w:eastAsia="仿宋_GB2312"/>
                <w:color w:val="000000"/>
                <w:sz w:val="30"/>
                <w:szCs w:val="30"/>
              </w:rPr>
              <w:t>三</w:t>
            </w:r>
            <w:r>
              <w:rPr>
                <w:rFonts w:hint="eastAsia" w:ascii="仿宋_GB2312" w:eastAsia="仿宋_GB2312"/>
                <w:color w:val="000000"/>
                <w:sz w:val="30"/>
                <w:szCs w:val="30"/>
              </w:rPr>
              <w:t>年</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3.6</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5.9</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6.8</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7.6</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第四年起</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3.1</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5.5</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6.4</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7.3</w:t>
            </w:r>
          </w:p>
        </w:tc>
        <w:tc>
          <w:tcPr>
            <w:tcW w:w="1247" w:type="dxa"/>
            <w:vAlign w:val="center"/>
          </w:tcPr>
          <w:p>
            <w:pPr>
              <w:spacing w:line="560" w:lineRule="exact"/>
              <w:jc w:val="center"/>
              <w:rPr>
                <w:rFonts w:ascii="仿宋_GB2312" w:eastAsia="仿宋_GB2312"/>
                <w:color w:val="000000"/>
                <w:sz w:val="30"/>
                <w:szCs w:val="30"/>
              </w:rPr>
            </w:pPr>
            <w:r>
              <w:rPr>
                <w:rFonts w:hint="eastAsia" w:ascii="仿宋_GB2312" w:eastAsia="仿宋_GB2312"/>
                <w:color w:val="000000"/>
                <w:sz w:val="30"/>
                <w:szCs w:val="30"/>
              </w:rPr>
              <w:t>8.7</w:t>
            </w:r>
          </w:p>
        </w:tc>
      </w:tr>
    </w:tbl>
    <w:p>
      <w:pPr>
        <w:widowControl/>
        <w:spacing w:line="560" w:lineRule="exact"/>
        <w:ind w:firstLine="600" w:firstLineChars="200"/>
        <w:rPr>
          <w:rFonts w:hint="eastAsia" w:ascii="仿宋_GB2312" w:hAnsi="仿宋" w:eastAsia="仿宋_GB2312" w:cs="仿宋"/>
          <w:sz w:val="30"/>
          <w:szCs w:val="30"/>
        </w:rPr>
      </w:pPr>
      <w:r>
        <w:rPr>
          <w:rFonts w:hint="eastAsia" w:ascii="仿宋_GB2312" w:hAnsi="仿宋" w:eastAsia="仿宋_GB2312" w:cs="仿宋"/>
          <w:sz w:val="30"/>
          <w:szCs w:val="30"/>
        </w:rPr>
        <w:t>注：考核起始当年是指科技支行挂牌当年。其中对于新建经营网点纳入科技支行管理的，考核起始当年为三年保护期过后第一年（即第四年）。本表有效期至2026年12月。</w:t>
      </w:r>
    </w:p>
    <w:p>
      <w:pPr>
        <w:widowControl/>
        <w:spacing w:line="560" w:lineRule="exact"/>
        <w:rPr>
          <w:rFonts w:ascii="黑体" w:hAnsi="黑体" w:eastAsia="黑体" w:cs="仿宋"/>
          <w:sz w:val="30"/>
          <w:szCs w:val="30"/>
        </w:rPr>
      </w:pPr>
      <w:r>
        <w:rPr>
          <w:rFonts w:hint="eastAsia" w:ascii="黑体" w:hAnsi="黑体" w:eastAsia="黑体" w:cs="仿宋"/>
          <w:sz w:val="30"/>
          <w:szCs w:val="30"/>
        </w:rPr>
        <w:t>一、综合性管理支行计算标准</w:t>
      </w:r>
    </w:p>
    <w:tbl>
      <w:tblPr>
        <w:tblStyle w:val="6"/>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4219"/>
        <w:gridCol w:w="731"/>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项目</w:t>
            </w:r>
          </w:p>
        </w:tc>
        <w:tc>
          <w:tcPr>
            <w:tcW w:w="4219" w:type="dxa"/>
            <w:noWrap/>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评价标准</w:t>
            </w:r>
          </w:p>
        </w:tc>
        <w:tc>
          <w:tcPr>
            <w:tcW w:w="731" w:type="dxa"/>
            <w:vAlign w:val="center"/>
          </w:tcPr>
          <w:p>
            <w:pPr>
              <w:widowControl/>
              <w:spacing w:line="560" w:lineRule="exact"/>
              <w:jc w:val="center"/>
              <w:rPr>
                <w:rFonts w:ascii="仿宋_GB2312" w:hAnsi="仿宋" w:eastAsia="仿宋_GB2312" w:cs="仿宋"/>
                <w:b/>
                <w:sz w:val="24"/>
                <w:szCs w:val="24"/>
              </w:rPr>
            </w:pPr>
            <w:r>
              <w:rPr>
                <w:rFonts w:hint="eastAsia" w:ascii="仿宋_GB2312" w:hAnsi="仿宋" w:eastAsia="仿宋_GB2312" w:cs="仿宋"/>
                <w:b/>
                <w:sz w:val="24"/>
                <w:szCs w:val="24"/>
              </w:rPr>
              <w:t>分值下限</w:t>
            </w:r>
          </w:p>
        </w:tc>
        <w:tc>
          <w:tcPr>
            <w:tcW w:w="769" w:type="dxa"/>
            <w:vAlign w:val="center"/>
          </w:tcPr>
          <w:p>
            <w:pPr>
              <w:widowControl/>
              <w:spacing w:line="560" w:lineRule="exact"/>
              <w:jc w:val="center"/>
              <w:rPr>
                <w:rFonts w:ascii="仿宋_GB2312" w:hAnsi="仿宋" w:eastAsia="仿宋_GB2312" w:cs="仿宋"/>
                <w:b/>
                <w:sz w:val="24"/>
                <w:szCs w:val="24"/>
              </w:rPr>
            </w:pPr>
            <w:r>
              <w:rPr>
                <w:rFonts w:hint="eastAsia" w:ascii="仿宋_GB2312" w:hAnsi="仿宋" w:eastAsia="仿宋_GB2312" w:cs="仿宋"/>
                <w:b/>
                <w:sz w:val="24"/>
                <w:szCs w:val="24"/>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定量分</w:t>
            </w:r>
          </w:p>
        </w:tc>
        <w:tc>
          <w:tcPr>
            <w:tcW w:w="4219" w:type="dxa"/>
            <w:noWrap/>
          </w:tcPr>
          <w:p>
            <w:pPr>
              <w:widowControl/>
              <w:spacing w:line="560" w:lineRule="exact"/>
              <w:jc w:val="center"/>
              <w:rPr>
                <w:rFonts w:ascii="仿宋_GB2312" w:hAnsi="仿宋" w:eastAsia="仿宋_GB2312" w:cs="仿宋"/>
                <w:sz w:val="30"/>
                <w:szCs w:val="30"/>
              </w:rPr>
            </w:pP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科技型企业贷款余额</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1）&gt;=50亿元，得10分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2）&lt;50亿元，按50亿目标值曲线计算得分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p>
            <w:pPr>
              <w:widowControl/>
              <w:spacing w:line="560" w:lineRule="exact"/>
              <w:jc w:val="center"/>
              <w:rPr>
                <w:rFonts w:ascii="仿宋_GB2312" w:hAnsi="仿宋" w:eastAsia="仿宋_GB2312"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hint="eastAsia" w:ascii="仿宋_GB2312" w:hAnsi="仿宋" w:eastAsia="仿宋_GB2312" w:cs="仿宋"/>
                <w:sz w:val="30"/>
                <w:szCs w:val="30"/>
              </w:rPr>
            </w:pPr>
            <w:r>
              <w:rPr>
                <w:rFonts w:hint="eastAsia" w:ascii="仿宋_GB2312" w:hAnsi="仿宋" w:eastAsia="仿宋_GB2312" w:cs="仿宋"/>
                <w:sz w:val="30"/>
                <w:szCs w:val="30"/>
              </w:rPr>
              <w:t>科技型企业贷款余额占比（占对公贷款）</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=x*10</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科技型中小企业贷款余额</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1）&gt;=20亿元，得10分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2）&lt;20亿元，按20亿目标值曲线计算得分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科技型中小企业贷款户数</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1）&gt;=200户，得10分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2）&lt;200户，按200户目标值曲线计算得分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科技型中小企业余额占比（占科技类）</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=x*10</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科技型企业流动资金贷款中的不动产抵押贷款余额占比</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1）&gt;=50%,0</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&lt;50%, =(0.5-x)*20</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知识产权质押贷款余额</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1）&gt;=5亿元，得5分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2）&lt;5亿元，按5亿元目标值曲线计算得分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知识产权质押贷款户数</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1）&gt;=30户，得</w:t>
            </w: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2）&lt;30户，按30户目标值曲线计算得分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当年累放科技型企业首贷户户数</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1）&gt;=30户，得10分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2）&lt;30户，=x/3</w:t>
            </w:r>
          </w:p>
          <w:p>
            <w:pPr>
              <w:widowControl/>
              <w:spacing w:line="560" w:lineRule="exact"/>
              <w:rPr>
                <w:rFonts w:ascii="仿宋_GB2312" w:hAnsi="仿宋" w:eastAsia="仿宋_GB2312" w:cs="仿宋"/>
                <w:sz w:val="30"/>
                <w:szCs w:val="30"/>
              </w:rPr>
            </w:pP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定性分</w:t>
            </w:r>
          </w:p>
        </w:tc>
        <w:tc>
          <w:tcPr>
            <w:tcW w:w="4219" w:type="dxa"/>
            <w:noWrap/>
          </w:tcPr>
          <w:p>
            <w:pPr>
              <w:widowControl/>
              <w:spacing w:line="560" w:lineRule="exact"/>
              <w:jc w:val="center"/>
              <w:rPr>
                <w:rFonts w:ascii="仿宋_GB2312" w:hAnsi="仿宋" w:eastAsia="仿宋_GB2312" w:cs="仿宋"/>
                <w:sz w:val="30"/>
                <w:szCs w:val="30"/>
              </w:rPr>
            </w:pP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专营体制机制建设完善</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1）行内制定专门科技支行管理办法，得2分</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）行内制定专门科技支行管理办法且充分匹配科技金融长周期考核特点，得4分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专职科技人员规模</w:t>
            </w:r>
          </w:p>
        </w:tc>
        <w:tc>
          <w:tcPr>
            <w:tcW w:w="4219" w:type="dxa"/>
            <w:noWrap/>
          </w:tcPr>
          <w:p>
            <w:pPr>
              <w:widowControl/>
              <w:spacing w:line="560" w:lineRule="exact"/>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专职人员人数：</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）专职人员人数达到行业平均的，得1分</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）专职人员人数超过行业平均50%以上的，得2分</w:t>
            </w:r>
          </w:p>
          <w:p>
            <w:pPr>
              <w:widowControl/>
              <w:spacing w:line="560" w:lineRule="exact"/>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专注人员占比：</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）专职人员占比达到行业平均的，得1分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）专职人员人数占比超过行业平均50%以上，得2分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lang w:eastAsia="zh-CN"/>
              </w:rPr>
              <w:t>注：</w:t>
            </w:r>
            <w:r>
              <w:rPr>
                <w:rFonts w:hint="eastAsia" w:ascii="仿宋_GB2312" w:hAnsi="仿宋" w:eastAsia="仿宋_GB2312" w:cs="仿宋"/>
                <w:sz w:val="30"/>
                <w:szCs w:val="30"/>
              </w:rPr>
              <w:t>超过同类型机构平均的酌情给分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b/>
                <w:sz w:val="30"/>
                <w:szCs w:val="30"/>
              </w:rPr>
            </w:pPr>
            <w:r>
              <w:rPr>
                <w:rFonts w:hint="eastAsia" w:ascii="仿宋_GB2312" w:hAnsi="仿宋" w:eastAsia="仿宋_GB2312" w:cs="仿宋"/>
                <w:sz w:val="30"/>
                <w:szCs w:val="30"/>
              </w:rPr>
              <w:t>园区支持需求</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综合考虑园区成熟度(</w:t>
            </w:r>
            <w:r>
              <w:rPr>
                <w:rFonts w:hint="eastAsia" w:ascii="仿宋" w:hAnsi="仿宋" w:eastAsia="仿宋" w:cs="仿宋"/>
                <w:sz w:val="30"/>
                <w:szCs w:val="30"/>
              </w:rPr>
              <w:t>0</w:t>
            </w:r>
            <w:r>
              <w:rPr>
                <w:rFonts w:hint="default" w:ascii="仿宋" w:hAnsi="仿宋" w:eastAsia="仿宋" w:cs="仿宋"/>
                <w:sz w:val="30"/>
                <w:szCs w:val="30"/>
              </w:rPr>
              <w:t>—</w:t>
            </w:r>
            <w:r>
              <w:rPr>
                <w:rFonts w:hint="eastAsia" w:ascii="仿宋" w:hAnsi="仿宋" w:eastAsia="仿宋" w:cs="仿宋"/>
                <w:sz w:val="30"/>
                <w:szCs w:val="30"/>
              </w:rPr>
              <w:t>2</w:t>
            </w:r>
            <w:r>
              <w:rPr>
                <w:rFonts w:hint="eastAsia" w:ascii="仿宋_GB2312" w:hAnsi="仿宋" w:eastAsia="仿宋_GB2312" w:cs="仿宋"/>
                <w:sz w:val="30"/>
                <w:szCs w:val="30"/>
              </w:rPr>
              <w:t>)、园区现有科技支行数量等因素(</w:t>
            </w:r>
            <w:r>
              <w:rPr>
                <w:rFonts w:hint="eastAsia" w:ascii="仿宋" w:hAnsi="仿宋" w:eastAsia="仿宋" w:cs="仿宋"/>
                <w:sz w:val="30"/>
                <w:szCs w:val="30"/>
                <w:lang w:val="en-US" w:eastAsia="zh-CN"/>
              </w:rPr>
              <w:t>0</w:t>
            </w:r>
            <w:r>
              <w:rPr>
                <w:rFonts w:hint="default" w:ascii="仿宋" w:hAnsi="仿宋" w:eastAsia="仿宋" w:cs="仿宋"/>
                <w:sz w:val="30"/>
                <w:szCs w:val="30"/>
              </w:rPr>
              <w:t>—</w:t>
            </w:r>
            <w:r>
              <w:rPr>
                <w:rFonts w:hint="eastAsia" w:ascii="仿宋" w:hAnsi="仿宋" w:eastAsia="仿宋" w:cs="仿宋"/>
                <w:sz w:val="30"/>
                <w:szCs w:val="30"/>
              </w:rPr>
              <w:t>2</w:t>
            </w:r>
            <w:r>
              <w:rPr>
                <w:rFonts w:hint="eastAsia" w:ascii="仿宋_GB2312" w:hAnsi="仿宋" w:eastAsia="仿宋_GB2312" w:cs="仿宋"/>
                <w:sz w:val="30"/>
                <w:szCs w:val="30"/>
              </w:rPr>
              <w:t>)</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示范带头效应</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该科技支行在该园区影响力</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当年度增长情况</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户数、余额的增幅、增量超过辖内平均的，各得1分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2" w:type="dxa"/>
            <w:noWrap/>
          </w:tcPr>
          <w:p>
            <w:pPr>
              <w:widowControl/>
              <w:spacing w:line="560" w:lineRule="exact"/>
              <w:rPr>
                <w:rFonts w:ascii="仿宋_GB2312" w:hAnsi="仿宋" w:eastAsia="仿宋_GB2312" w:cs="仿宋"/>
                <w:b/>
                <w:sz w:val="30"/>
                <w:szCs w:val="30"/>
              </w:rPr>
            </w:pPr>
            <w:r>
              <w:rPr>
                <w:rFonts w:hint="eastAsia" w:ascii="仿宋_GB2312" w:hAnsi="仿宋" w:eastAsia="仿宋_GB2312" w:cs="仿宋"/>
                <w:sz w:val="30"/>
                <w:szCs w:val="30"/>
              </w:rPr>
              <w:t>各项重点工作及特色示范业务探索开展情况</w:t>
            </w:r>
          </w:p>
        </w:tc>
        <w:tc>
          <w:tcPr>
            <w:tcW w:w="4219"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根据当年度科技金融各项业务推进情况，该支行在同类银行科技支行中表现酌情给分</w:t>
            </w:r>
          </w:p>
        </w:tc>
        <w:tc>
          <w:tcPr>
            <w:tcW w:w="731"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769"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bl>
    <w:p>
      <w:pPr>
        <w:widowControl/>
        <w:spacing w:line="560" w:lineRule="exact"/>
        <w:rPr>
          <w:rFonts w:ascii="黑体" w:hAnsi="黑体" w:eastAsia="黑体" w:cs="仿宋"/>
          <w:sz w:val="30"/>
          <w:szCs w:val="30"/>
        </w:rPr>
      </w:pPr>
    </w:p>
    <w:p>
      <w:pPr>
        <w:widowControl/>
        <w:spacing w:line="560" w:lineRule="exact"/>
        <w:rPr>
          <w:rFonts w:ascii="黑体" w:hAnsi="黑体" w:eastAsia="黑体" w:cs="仿宋"/>
          <w:sz w:val="30"/>
          <w:szCs w:val="30"/>
        </w:rPr>
      </w:pPr>
      <w:r>
        <w:rPr>
          <w:rFonts w:hint="eastAsia" w:ascii="黑体" w:hAnsi="黑体" w:eastAsia="黑体" w:cs="仿宋"/>
          <w:sz w:val="30"/>
          <w:szCs w:val="30"/>
        </w:rPr>
        <w:t>二、单一经营支行/网点计算标准</w:t>
      </w:r>
    </w:p>
    <w:tbl>
      <w:tblPr>
        <w:tblStyle w:val="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4200"/>
        <w:gridCol w:w="732"/>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项目</w:t>
            </w:r>
          </w:p>
        </w:tc>
        <w:tc>
          <w:tcPr>
            <w:tcW w:w="4200" w:type="dxa"/>
            <w:noWrap/>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计算方式</w:t>
            </w:r>
          </w:p>
        </w:tc>
        <w:tc>
          <w:tcPr>
            <w:tcW w:w="732" w:type="dxa"/>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24"/>
                <w:szCs w:val="24"/>
              </w:rPr>
              <w:t>分值下限</w:t>
            </w:r>
          </w:p>
        </w:tc>
        <w:tc>
          <w:tcPr>
            <w:tcW w:w="806" w:type="dxa"/>
            <w:vAlign w:val="center"/>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24"/>
                <w:szCs w:val="24"/>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客观分</w:t>
            </w:r>
          </w:p>
        </w:tc>
        <w:tc>
          <w:tcPr>
            <w:tcW w:w="4200" w:type="dxa"/>
            <w:noWrap/>
          </w:tcPr>
          <w:p>
            <w:pPr>
              <w:widowControl/>
              <w:spacing w:line="560" w:lineRule="exact"/>
              <w:jc w:val="center"/>
              <w:rPr>
                <w:rFonts w:ascii="仿宋_GB2312" w:hAnsi="仿宋" w:eastAsia="仿宋_GB2312" w:cs="仿宋"/>
                <w:sz w:val="30"/>
                <w:szCs w:val="30"/>
              </w:rPr>
            </w:pP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科技型企业贷款余额</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1）&gt;=15亿元，得10分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2）&lt;15亿元，按15亿元目标值曲线计算得分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科技型企业贷款余额占比（占对公贷款）</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=x*15</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科技型中小企业贷款余额</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1）&gt;=8亿元，得</w:t>
            </w:r>
            <w:r>
              <w:rPr>
                <w:rFonts w:hint="eastAsia" w:ascii="仿宋_GB2312" w:hAnsi="仿宋" w:eastAsia="仿宋_GB2312" w:cs="仿宋"/>
                <w:sz w:val="30"/>
                <w:szCs w:val="30"/>
                <w:lang w:val="en-US" w:eastAsia="zh-CN"/>
              </w:rPr>
              <w:t>10</w:t>
            </w:r>
            <w:r>
              <w:rPr>
                <w:rFonts w:hint="eastAsia" w:ascii="仿宋_GB2312" w:hAnsi="仿宋" w:eastAsia="仿宋_GB2312" w:cs="仿宋"/>
                <w:sz w:val="30"/>
                <w:szCs w:val="30"/>
              </w:rPr>
              <w:t>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2）&lt;8亿元，按8亿元目标值曲线计算得分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科技型中小企业贷款户数</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1）&gt;=60户，得10分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2）&lt;60户，按</w:t>
            </w:r>
            <w:r>
              <w:rPr>
                <w:rFonts w:hint="eastAsia" w:ascii="仿宋_GB2312" w:hAnsi="仿宋" w:eastAsia="仿宋_GB2312" w:cs="仿宋"/>
                <w:sz w:val="30"/>
                <w:szCs w:val="30"/>
                <w:lang w:val="en-US" w:eastAsia="zh-CN"/>
              </w:rPr>
              <w:t>60</w:t>
            </w:r>
            <w:r>
              <w:rPr>
                <w:rFonts w:hint="eastAsia" w:ascii="仿宋_GB2312" w:hAnsi="仿宋" w:eastAsia="仿宋_GB2312" w:cs="仿宋"/>
                <w:sz w:val="30"/>
                <w:szCs w:val="30"/>
              </w:rPr>
              <w:t>户目标值曲线计算得分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科技型中小企业余额占比（占科技类）</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=x*15</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科技型企业流动资金贷款中的不动产抵押贷款余额占比</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1）&gt;=50%,0</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2）&lt;=50%, =(0.5-x)*20</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知识产权质押贷款余额</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1）&gt;=1亿元，得5分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2）&lt;1亿元，按1亿元目标值曲线计算得分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hint="eastAsia" w:ascii="仿宋_GB2312" w:hAnsi="仿宋" w:eastAsia="仿宋_GB2312" w:cs="仿宋"/>
                <w:sz w:val="30"/>
                <w:szCs w:val="30"/>
                <w:lang w:eastAsia="zh-CN"/>
              </w:rPr>
            </w:pPr>
            <w:r>
              <w:rPr>
                <w:rFonts w:hint="eastAsia" w:ascii="仿宋_GB2312" w:hAnsi="仿宋" w:eastAsia="仿宋_GB2312" w:cs="仿宋"/>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知识产权质押贷款户数</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1）&gt;=10户，得</w:t>
            </w: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2）&lt;10户，按10户目标值曲线计算得分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hint="eastAsia" w:ascii="仿宋_GB2312" w:hAnsi="仿宋" w:eastAsia="仿宋_GB2312" w:cs="仿宋"/>
                <w:sz w:val="30"/>
                <w:szCs w:val="30"/>
                <w:lang w:eastAsia="zh-CN"/>
              </w:rPr>
            </w:pPr>
            <w:r>
              <w:rPr>
                <w:rFonts w:hint="eastAsia" w:ascii="仿宋_GB2312" w:hAnsi="仿宋" w:eastAsia="仿宋_GB2312" w:cs="仿宋"/>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当年累放科技型企业首贷户户数</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1）&gt;=10户，得10分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2）&lt;=10户，=x</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470" w:type="dxa"/>
            <w:noWrap/>
          </w:tcPr>
          <w:p>
            <w:pPr>
              <w:widowControl/>
              <w:spacing w:line="560" w:lineRule="exact"/>
              <w:jc w:val="center"/>
              <w:rPr>
                <w:rFonts w:ascii="仿宋_GB2312" w:hAnsi="仿宋" w:eastAsia="仿宋_GB2312" w:cs="仿宋"/>
                <w:b/>
                <w:sz w:val="30"/>
                <w:szCs w:val="30"/>
              </w:rPr>
            </w:pPr>
            <w:r>
              <w:rPr>
                <w:rFonts w:hint="eastAsia" w:ascii="仿宋_GB2312" w:hAnsi="仿宋" w:eastAsia="仿宋_GB2312" w:cs="仿宋"/>
                <w:b/>
                <w:sz w:val="30"/>
                <w:szCs w:val="30"/>
              </w:rPr>
              <w:t>主观分</w:t>
            </w:r>
          </w:p>
        </w:tc>
        <w:tc>
          <w:tcPr>
            <w:tcW w:w="4200" w:type="dxa"/>
            <w:noWrap/>
          </w:tcPr>
          <w:p>
            <w:pPr>
              <w:widowControl/>
              <w:spacing w:line="560" w:lineRule="exact"/>
              <w:jc w:val="center"/>
              <w:rPr>
                <w:rFonts w:ascii="仿宋_GB2312" w:hAnsi="仿宋" w:eastAsia="仿宋_GB2312" w:cs="仿宋"/>
                <w:sz w:val="30"/>
                <w:szCs w:val="30"/>
              </w:rPr>
            </w:pP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专营体制机制建设完善</w:t>
            </w:r>
          </w:p>
        </w:tc>
        <w:tc>
          <w:tcPr>
            <w:tcW w:w="4200" w:type="dxa"/>
            <w:noWrap/>
          </w:tcPr>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）行内制定专门科技支行管理办法，得1分</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）行内制定专门科技支行管理办法且充分匹配科技金融长周期考核特点，得2分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专职科技人员规模</w:t>
            </w:r>
          </w:p>
        </w:tc>
        <w:tc>
          <w:tcPr>
            <w:tcW w:w="4200" w:type="dxa"/>
            <w:noWrap/>
          </w:tcPr>
          <w:p>
            <w:pPr>
              <w:widowControl/>
              <w:spacing w:line="560" w:lineRule="exact"/>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专职人员人数：</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1</w:t>
            </w:r>
            <w:r>
              <w:rPr>
                <w:rFonts w:hint="eastAsia" w:ascii="仿宋_GB2312" w:hAnsi="仿宋" w:eastAsia="仿宋_GB2312" w:cs="仿宋"/>
                <w:sz w:val="30"/>
                <w:szCs w:val="30"/>
              </w:rPr>
              <w:t>）专职人员人数达到行业平均的，得0.5分</w:t>
            </w:r>
          </w:p>
          <w:p>
            <w:pPr>
              <w:widowControl/>
              <w:spacing w:line="560" w:lineRule="exact"/>
              <w:rPr>
                <w:rFonts w:hint="eastAsia" w:ascii="仿宋_GB2312" w:hAnsi="仿宋" w:eastAsia="仿宋_GB2312" w:cs="仿宋"/>
                <w:sz w:val="30"/>
                <w:szCs w:val="30"/>
              </w:rPr>
            </w:pPr>
            <w:r>
              <w:rPr>
                <w:rFonts w:ascii="仿宋_GB2312" w:hAnsi="仿宋" w:eastAsia="仿宋_GB2312" w:cs="仿宋"/>
                <w:sz w:val="30"/>
                <w:szCs w:val="30"/>
              </w:rPr>
              <w:t>2</w:t>
            </w:r>
            <w:r>
              <w:rPr>
                <w:rFonts w:hint="eastAsia" w:ascii="仿宋_GB2312" w:hAnsi="仿宋" w:eastAsia="仿宋_GB2312" w:cs="仿宋"/>
                <w:sz w:val="30"/>
                <w:szCs w:val="30"/>
              </w:rPr>
              <w:t>）专职人员人数超过行业平均50%以上的，得1分</w:t>
            </w:r>
          </w:p>
          <w:p>
            <w:pPr>
              <w:widowControl/>
              <w:spacing w:line="560" w:lineRule="exact"/>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专职人员占比：</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3</w:t>
            </w:r>
            <w:r>
              <w:rPr>
                <w:rFonts w:hint="eastAsia" w:ascii="仿宋_GB2312" w:hAnsi="仿宋" w:eastAsia="仿宋_GB2312" w:cs="仿宋"/>
                <w:sz w:val="30"/>
                <w:szCs w:val="30"/>
              </w:rPr>
              <w:t>）专职人员占比达到行业平均的，得0.5分</w:t>
            </w:r>
          </w:p>
          <w:p>
            <w:pPr>
              <w:widowControl/>
              <w:spacing w:line="560" w:lineRule="exact"/>
              <w:rPr>
                <w:rFonts w:ascii="仿宋_GB2312" w:hAnsi="仿宋" w:eastAsia="仿宋_GB2312" w:cs="仿宋"/>
                <w:sz w:val="30"/>
                <w:szCs w:val="30"/>
              </w:rPr>
            </w:pPr>
            <w:r>
              <w:rPr>
                <w:rFonts w:ascii="仿宋_GB2312" w:hAnsi="仿宋" w:eastAsia="仿宋_GB2312" w:cs="仿宋"/>
                <w:sz w:val="30"/>
                <w:szCs w:val="30"/>
              </w:rPr>
              <w:t>4</w:t>
            </w:r>
            <w:r>
              <w:rPr>
                <w:rFonts w:hint="eastAsia" w:ascii="仿宋_GB2312" w:hAnsi="仿宋" w:eastAsia="仿宋_GB2312" w:cs="仿宋"/>
                <w:sz w:val="30"/>
                <w:szCs w:val="30"/>
              </w:rPr>
              <w:t>）专职人员人数占比超过行业平均50%以上，得1分</w:t>
            </w:r>
          </w:p>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lang w:eastAsia="zh-CN"/>
              </w:rPr>
              <w:t>注：</w:t>
            </w:r>
            <w:r>
              <w:rPr>
                <w:rFonts w:hint="eastAsia" w:ascii="仿宋_GB2312" w:hAnsi="仿宋" w:eastAsia="仿宋_GB2312" w:cs="仿宋"/>
                <w:sz w:val="30"/>
                <w:szCs w:val="30"/>
              </w:rPr>
              <w:t>超过同类型</w:t>
            </w:r>
            <w:r>
              <w:rPr>
                <w:rFonts w:ascii="仿宋_GB2312" w:hAnsi="仿宋" w:eastAsia="仿宋_GB2312" w:cs="仿宋"/>
                <w:sz w:val="30"/>
                <w:szCs w:val="30"/>
              </w:rPr>
              <w:t>机构</w:t>
            </w:r>
            <w:r>
              <w:rPr>
                <w:rFonts w:hint="eastAsia" w:ascii="仿宋_GB2312" w:hAnsi="仿宋" w:eastAsia="仿宋_GB2312" w:cs="仿宋"/>
                <w:sz w:val="30"/>
                <w:szCs w:val="30"/>
              </w:rPr>
              <w:t>平均的酌情给分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园区支持需求</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综合考虑园区成熟度(</w:t>
            </w:r>
            <w:r>
              <w:rPr>
                <w:rFonts w:hint="eastAsia" w:ascii="仿宋" w:hAnsi="仿宋" w:eastAsia="仿宋" w:cs="仿宋"/>
                <w:sz w:val="30"/>
                <w:szCs w:val="30"/>
              </w:rPr>
              <w:t>0</w:t>
            </w:r>
            <w:r>
              <w:rPr>
                <w:rFonts w:hint="default"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_GB2312" w:hAnsi="仿宋" w:eastAsia="仿宋_GB2312" w:cs="仿宋"/>
                <w:sz w:val="30"/>
                <w:szCs w:val="30"/>
              </w:rPr>
              <w:t>)、园区现有科技支行数量等因素(</w:t>
            </w:r>
            <w:r>
              <w:rPr>
                <w:rFonts w:hint="eastAsia" w:ascii="仿宋" w:hAnsi="仿宋" w:eastAsia="仿宋" w:cs="仿宋"/>
                <w:sz w:val="30"/>
                <w:szCs w:val="30"/>
                <w:lang w:val="en-US" w:eastAsia="zh-CN"/>
              </w:rPr>
              <w:t>0</w:t>
            </w:r>
            <w:r>
              <w:rPr>
                <w:rFonts w:hint="default"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_GB2312" w:hAnsi="仿宋" w:eastAsia="仿宋_GB2312" w:cs="仿宋"/>
                <w:sz w:val="30"/>
                <w:szCs w:val="30"/>
              </w:rPr>
              <w:t>)</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示范带头效应</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综合考虑该科技支行在该园区影响力，以及在同类型银行中的带头效应</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当年度增长情况</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户数、余额的增幅、增量超过辖内平均的，各得0.5分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70" w:type="dxa"/>
            <w:noWrap/>
          </w:tcPr>
          <w:p>
            <w:pPr>
              <w:widowControl/>
              <w:spacing w:line="560" w:lineRule="exact"/>
              <w:rPr>
                <w:rFonts w:ascii="仿宋_GB2312" w:eastAsia="仿宋_GB2312"/>
              </w:rPr>
            </w:pPr>
            <w:r>
              <w:rPr>
                <w:rFonts w:hint="eastAsia" w:ascii="仿宋_GB2312" w:hAnsi="仿宋" w:eastAsia="仿宋_GB2312" w:cs="仿宋"/>
                <w:sz w:val="30"/>
                <w:szCs w:val="30"/>
              </w:rPr>
              <w:t>各项重点工作及特色示范业务探索开展情况</w:t>
            </w:r>
          </w:p>
        </w:tc>
        <w:tc>
          <w:tcPr>
            <w:tcW w:w="4200" w:type="dxa"/>
            <w:noWrap/>
          </w:tcPr>
          <w:p>
            <w:pPr>
              <w:widowControl/>
              <w:spacing w:line="560" w:lineRule="exact"/>
              <w:rPr>
                <w:rFonts w:ascii="仿宋_GB2312" w:hAnsi="仿宋" w:eastAsia="仿宋_GB2312" w:cs="仿宋"/>
                <w:sz w:val="30"/>
                <w:szCs w:val="30"/>
              </w:rPr>
            </w:pPr>
            <w:r>
              <w:rPr>
                <w:rFonts w:hint="eastAsia" w:ascii="仿宋_GB2312" w:hAnsi="仿宋" w:eastAsia="仿宋_GB2312" w:cs="仿宋"/>
                <w:sz w:val="30"/>
                <w:szCs w:val="30"/>
              </w:rPr>
              <w:t>根据当年度科技金融各项业务推进情况，该支行在同类银行科技支行中表现酌情给分</w:t>
            </w:r>
          </w:p>
        </w:tc>
        <w:tc>
          <w:tcPr>
            <w:tcW w:w="732"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0</w:t>
            </w:r>
          </w:p>
        </w:tc>
        <w:tc>
          <w:tcPr>
            <w:tcW w:w="806" w:type="dxa"/>
          </w:tcPr>
          <w:p>
            <w:pPr>
              <w:widowControl/>
              <w:spacing w:line="56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bl>
    <w:p>
      <w:pPr>
        <w:widowControl/>
        <w:spacing w:line="560" w:lineRule="exact"/>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67"/>
    <w:rsid w:val="0001516A"/>
    <w:rsid w:val="00021867"/>
    <w:rsid w:val="00041E16"/>
    <w:rsid w:val="00095C42"/>
    <w:rsid w:val="00147F7C"/>
    <w:rsid w:val="001524AA"/>
    <w:rsid w:val="00174B5C"/>
    <w:rsid w:val="001D6B36"/>
    <w:rsid w:val="001E469D"/>
    <w:rsid w:val="00200969"/>
    <w:rsid w:val="00204DF6"/>
    <w:rsid w:val="0022615A"/>
    <w:rsid w:val="002739F1"/>
    <w:rsid w:val="002F4A9A"/>
    <w:rsid w:val="00302B4C"/>
    <w:rsid w:val="00353B6E"/>
    <w:rsid w:val="00361B6F"/>
    <w:rsid w:val="00402E5F"/>
    <w:rsid w:val="004530C7"/>
    <w:rsid w:val="004E42E4"/>
    <w:rsid w:val="0054495C"/>
    <w:rsid w:val="0056645D"/>
    <w:rsid w:val="00574F41"/>
    <w:rsid w:val="005A3E3C"/>
    <w:rsid w:val="005C26EA"/>
    <w:rsid w:val="005E5187"/>
    <w:rsid w:val="00604A68"/>
    <w:rsid w:val="00660E82"/>
    <w:rsid w:val="006941CF"/>
    <w:rsid w:val="006E6357"/>
    <w:rsid w:val="00723C7A"/>
    <w:rsid w:val="00725150"/>
    <w:rsid w:val="00776788"/>
    <w:rsid w:val="00794EE7"/>
    <w:rsid w:val="007B0DC4"/>
    <w:rsid w:val="007B2A23"/>
    <w:rsid w:val="007C7D77"/>
    <w:rsid w:val="007D2824"/>
    <w:rsid w:val="007E1244"/>
    <w:rsid w:val="007E5506"/>
    <w:rsid w:val="00823407"/>
    <w:rsid w:val="008645F6"/>
    <w:rsid w:val="0087560A"/>
    <w:rsid w:val="008922F9"/>
    <w:rsid w:val="008A2742"/>
    <w:rsid w:val="008A42DE"/>
    <w:rsid w:val="008E1D2F"/>
    <w:rsid w:val="00916818"/>
    <w:rsid w:val="00917B41"/>
    <w:rsid w:val="009618FB"/>
    <w:rsid w:val="00961AF6"/>
    <w:rsid w:val="00964158"/>
    <w:rsid w:val="009F5EDA"/>
    <w:rsid w:val="00A514F7"/>
    <w:rsid w:val="00A54ADC"/>
    <w:rsid w:val="00A55587"/>
    <w:rsid w:val="00A636C4"/>
    <w:rsid w:val="00B01214"/>
    <w:rsid w:val="00B02BFB"/>
    <w:rsid w:val="00B0574B"/>
    <w:rsid w:val="00B26131"/>
    <w:rsid w:val="00B42A6F"/>
    <w:rsid w:val="00B72184"/>
    <w:rsid w:val="00C01C2B"/>
    <w:rsid w:val="00C743DA"/>
    <w:rsid w:val="00CD6F4A"/>
    <w:rsid w:val="00D0362C"/>
    <w:rsid w:val="00D25705"/>
    <w:rsid w:val="00D33E35"/>
    <w:rsid w:val="00D855B8"/>
    <w:rsid w:val="00D9615A"/>
    <w:rsid w:val="00DC1D42"/>
    <w:rsid w:val="00DD293D"/>
    <w:rsid w:val="00DF71A6"/>
    <w:rsid w:val="00E06BF0"/>
    <w:rsid w:val="00E20896"/>
    <w:rsid w:val="00E20972"/>
    <w:rsid w:val="00EF6DE8"/>
    <w:rsid w:val="00F47C6C"/>
    <w:rsid w:val="00F82A73"/>
    <w:rsid w:val="00F9762E"/>
    <w:rsid w:val="00F97728"/>
    <w:rsid w:val="1BFD394D"/>
    <w:rsid w:val="1DB6C9D9"/>
    <w:rsid w:val="3EFE0DE4"/>
    <w:rsid w:val="3FF77417"/>
    <w:rsid w:val="5DBF7C2B"/>
    <w:rsid w:val="5FF74148"/>
    <w:rsid w:val="6308028D"/>
    <w:rsid w:val="7BD76CFD"/>
    <w:rsid w:val="7CBE4137"/>
    <w:rsid w:val="7D96C09A"/>
    <w:rsid w:val="7F6FDD8A"/>
    <w:rsid w:val="ABFA5F02"/>
    <w:rsid w:val="AFFFB38C"/>
    <w:rsid w:val="BFEF8C22"/>
    <w:rsid w:val="C3EE10D3"/>
    <w:rsid w:val="DFFB01BC"/>
    <w:rsid w:val="EFBF0864"/>
    <w:rsid w:val="FDDF9066"/>
    <w:rsid w:val="FDFF7EE8"/>
    <w:rsid w:val="FFF79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342</Words>
  <Characters>1956</Characters>
  <Lines>16</Lines>
  <Paragraphs>4</Paragraphs>
  <TotalTime>22</TotalTime>
  <ScaleCrop>false</ScaleCrop>
  <LinksUpToDate>false</LinksUpToDate>
  <CharactersWithSpaces>2294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2023-11-28T11:43:00Z</dcterms:created>
  <dc:creator>朱凯伦</dc:creator>
  <cp:lastModifiedBy>朱凯伦</cp:lastModifiedBy>
  <cp:lastPrinted>2023-11-19T15:07:00Z</cp:lastPrinted>
  <dcterms:modified xsi:type="dcterms:W3CDTF">2024-04-29T13:58:47Z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319DCEAD5239419EFFF914662CAE67AF</vt:lpwstr>
  </property>
</Properties>
</file>