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2E3800">
      <w:pPr>
        <w:keepNext w:val="0"/>
        <w:keepLines w:val="0"/>
        <w:widowControl/>
        <w:suppressLineNumbers w:val="0"/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napToGrid w:val="0"/>
          <w:color w:val="000000"/>
          <w:kern w:val="0"/>
          <w:sz w:val="32"/>
          <w:szCs w:val="32"/>
          <w:lang w:val="en-US" w:eastAsia="zh-CN" w:bidi="ar"/>
        </w:rPr>
        <w:t>附件</w:t>
      </w:r>
      <w:r>
        <w:rPr>
          <w:rFonts w:hint="eastAsia" w:ascii="黑体" w:hAnsi="黑体" w:eastAsia="黑体" w:cs="黑体"/>
          <w:snapToGrid w:val="0"/>
          <w:color w:val="000000"/>
          <w:kern w:val="0"/>
          <w:sz w:val="32"/>
          <w:szCs w:val="32"/>
          <w:lang w:val="en-US" w:eastAsia="zh-CN" w:bidi="ar"/>
        </w:rPr>
        <w:t xml:space="preserve">3 </w:t>
      </w:r>
    </w:p>
    <w:p w14:paraId="2FEF22CA">
      <w:pPr>
        <w:keepNext w:val="0"/>
        <w:keepLines w:val="0"/>
        <w:widowControl/>
        <w:suppressLineNumbers w:val="0"/>
        <w:jc w:val="center"/>
      </w:pPr>
      <w:bookmarkStart w:id="0" w:name="_GoBack"/>
      <w:r>
        <w:rPr>
          <w:rFonts w:ascii="方正小标宋简体" w:hAnsi="方正小标宋简体" w:eastAsia="方正小标宋简体" w:cs="方正小标宋简体"/>
          <w:snapToGrid w:val="0"/>
          <w:color w:val="000000"/>
          <w:kern w:val="0"/>
          <w:sz w:val="44"/>
          <w:szCs w:val="44"/>
          <w:lang w:val="en-US" w:eastAsia="zh-CN" w:bidi="ar"/>
        </w:rPr>
        <w:t>高新技术企业整体迁入情况报告</w:t>
      </w:r>
      <w:bookmarkEnd w:id="0"/>
    </w:p>
    <w:p w14:paraId="6A06AD3B">
      <w:pPr>
        <w:keepNext w:val="0"/>
        <w:keepLines w:val="0"/>
        <w:widowControl/>
        <w:suppressLineNumbers w:val="0"/>
        <w:jc w:val="left"/>
        <w:rPr>
          <w:rFonts w:ascii="仿宋_GB2312" w:hAnsi="宋体" w:eastAsia="仿宋_GB2312" w:cs="仿宋_GB2312"/>
          <w:snapToGrid w:val="0"/>
          <w:color w:val="000000"/>
          <w:kern w:val="0"/>
          <w:sz w:val="31"/>
          <w:szCs w:val="31"/>
          <w:lang w:val="en-US" w:eastAsia="zh-CN" w:bidi="ar"/>
        </w:rPr>
      </w:pPr>
    </w:p>
    <w:p w14:paraId="49C2FBEB">
      <w:pPr>
        <w:keepNext w:val="0"/>
        <w:keepLines w:val="0"/>
        <w:pageBreakBefore w:val="0"/>
        <w:widowControl/>
        <w:suppressLineNumbers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left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val="en-US" w:eastAsia="zh-CN" w:bidi="ar"/>
        </w:rPr>
        <w:t>浙江省经济和信息化厅：</w:t>
      </w:r>
    </w:p>
    <w:p w14:paraId="4888C438">
      <w:pPr>
        <w:keepNext w:val="0"/>
        <w:keepLines w:val="0"/>
        <w:pageBreakBefore w:val="0"/>
        <w:widowControl/>
        <w:suppressLineNumbers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left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val="en-US" w:eastAsia="zh-CN" w:bidi="ar"/>
        </w:rPr>
        <w:t>兹有我县（市、区）</w:t>
      </w:r>
      <w:r>
        <w:rPr>
          <w:spacing w:val="10"/>
          <w:u w:val="single" w:color="auto"/>
        </w:rPr>
        <w:t xml:space="preserve">             </w:t>
      </w: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val="en-US" w:eastAsia="zh-CN" w:bidi="ar"/>
        </w:rPr>
        <w:t>公司提出高新技术企业整体迁入申请，经我部门于</w:t>
      </w:r>
      <w:r>
        <w:rPr>
          <w:spacing w:val="10"/>
          <w:u w:val="single" w:color="auto"/>
        </w:rPr>
        <w:t xml:space="preserve">        </w:t>
      </w: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val="en-US" w:eastAsia="zh-CN" w:bidi="ar"/>
        </w:rPr>
        <w:t>年</w:t>
      </w:r>
      <w:r>
        <w:rPr>
          <w:spacing w:val="10"/>
          <w:u w:val="single" w:color="auto"/>
        </w:rPr>
        <w:t xml:space="preserve">       </w:t>
      </w: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val="en-US" w:eastAsia="zh-CN" w:bidi="ar"/>
        </w:rPr>
        <w:t>月</w:t>
      </w:r>
      <w:r>
        <w:rPr>
          <w:spacing w:val="10"/>
          <w:u w:val="single" w:color="auto"/>
        </w:rPr>
        <w:t xml:space="preserve">        </w:t>
      </w: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val="en-US" w:eastAsia="zh-CN" w:bidi="ar"/>
        </w:rPr>
        <w:t>日赴企</w:t>
      </w:r>
    </w:p>
    <w:p w14:paraId="6ED17BBE">
      <w:pPr>
        <w:keepNext w:val="0"/>
        <w:keepLines w:val="0"/>
        <w:pageBreakBefore w:val="0"/>
        <w:widowControl/>
        <w:suppressLineNumbers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left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val="en-US" w:eastAsia="zh-CN" w:bidi="ar"/>
        </w:rPr>
        <w:t xml:space="preserve">业实地核查，该企业符合《高新技术企业认定管理办法》（国科发火〔2016〕32号）及《高新技术企业认定管理工作指引》（国科发 火〔2016〕195号）规定的整体搬迁条件。有关情况报告如下： </w:t>
      </w:r>
    </w:p>
    <w:p w14:paraId="4B395860">
      <w:pPr>
        <w:keepNext w:val="0"/>
        <w:keepLines w:val="0"/>
        <w:pageBreakBefore w:val="0"/>
        <w:widowControl/>
        <w:suppressLineNumbers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left"/>
        <w:textAlignment w:val="baseline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napToGrid w:val="0"/>
          <w:color w:val="000000"/>
          <w:kern w:val="0"/>
          <w:sz w:val="32"/>
          <w:szCs w:val="32"/>
          <w:lang w:val="en-US" w:eastAsia="zh-CN" w:bidi="ar"/>
        </w:rPr>
        <w:t xml:space="preserve">一、企业整体搬迁情况 </w:t>
      </w:r>
    </w:p>
    <w:p w14:paraId="76932A6D">
      <w:pPr>
        <w:keepNext w:val="0"/>
        <w:keepLines w:val="0"/>
        <w:pageBreakBefore w:val="0"/>
        <w:widowControl/>
        <w:suppressLineNumbers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90" w:firstLineChars="300"/>
        <w:jc w:val="left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spacing w:val="10"/>
          <w:u w:val="single" w:color="auto"/>
        </w:rPr>
        <w:t xml:space="preserve">             </w:t>
      </w: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val="en-US" w:eastAsia="zh-CN" w:bidi="ar"/>
        </w:rPr>
        <w:t>公司，原名为</w:t>
      </w:r>
      <w:r>
        <w:rPr>
          <w:spacing w:val="10"/>
          <w:u w:val="single" w:color="auto"/>
        </w:rPr>
        <w:t xml:space="preserve">             </w:t>
      </w: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val="en-US" w:eastAsia="zh-CN" w:bidi="ar"/>
        </w:rPr>
        <w:t>公司，于</w:t>
      </w:r>
      <w:r>
        <w:rPr>
          <w:spacing w:val="10"/>
          <w:u w:val="single" w:color="auto"/>
        </w:rPr>
        <w:t xml:space="preserve">        </w:t>
      </w: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val="en-US" w:eastAsia="zh-CN" w:bidi="ar"/>
        </w:rPr>
        <w:t>年</w:t>
      </w:r>
      <w:r>
        <w:rPr>
          <w:spacing w:val="10"/>
          <w:u w:val="single" w:color="auto"/>
        </w:rPr>
        <w:t xml:space="preserve">                   </w:t>
      </w: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val="en-US" w:eastAsia="zh-CN" w:bidi="ar"/>
        </w:rPr>
        <w:t>月，在</w:t>
      </w:r>
      <w:r>
        <w:rPr>
          <w:spacing w:val="10"/>
          <w:u w:val="single" w:color="auto"/>
        </w:rPr>
        <w:t xml:space="preserve">      </w:t>
      </w: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val="en-US" w:eastAsia="zh-CN" w:bidi="ar"/>
        </w:rPr>
        <w:t>省</w:t>
      </w:r>
      <w:r>
        <w:rPr>
          <w:spacing w:val="10"/>
          <w:u w:val="single" w:color="auto"/>
        </w:rPr>
        <w:t xml:space="preserve">      </w:t>
      </w:r>
      <w:r>
        <w:rPr>
          <w:rFonts w:hint="eastAsia" w:eastAsia="宋体"/>
          <w:spacing w:val="10"/>
          <w:u w:val="single" w:color="auto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val="en-US" w:eastAsia="zh-CN" w:bidi="ar"/>
        </w:rPr>
        <w:t>市认定为高新技术企业，统一社会信用代码为</w:t>
      </w:r>
      <w:r>
        <w:rPr>
          <w:spacing w:val="10"/>
          <w:u w:val="single" w:color="auto"/>
        </w:rPr>
        <w:t xml:space="preserve">      </w:t>
      </w:r>
      <w:r>
        <w:rPr>
          <w:rFonts w:hint="eastAsia" w:eastAsia="宋体"/>
          <w:spacing w:val="10"/>
          <w:u w:val="single" w:color="auto"/>
          <w:lang w:val="en-US" w:eastAsia="zh-CN"/>
        </w:rPr>
        <w:t xml:space="preserve">            </w:t>
      </w: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val="en-US" w:eastAsia="zh-CN" w:bidi="ar"/>
        </w:rPr>
        <w:t>，高企证书编号为：</w:t>
      </w:r>
      <w:r>
        <w:rPr>
          <w:spacing w:val="10"/>
          <w:u w:val="single" w:color="auto"/>
        </w:rPr>
        <w:t xml:space="preserve">     </w:t>
      </w:r>
      <w:r>
        <w:rPr>
          <w:rFonts w:hint="eastAsia" w:eastAsia="宋体"/>
          <w:spacing w:val="10"/>
          <w:u w:val="single" w:color="auto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val="en-US" w:eastAsia="zh-CN" w:bidi="ar"/>
        </w:rPr>
        <w:t>。该企业因</w:t>
      </w:r>
      <w:r>
        <w:rPr>
          <w:spacing w:val="10"/>
          <w:u w:val="single" w:color="auto"/>
        </w:rPr>
        <w:t xml:space="preserve">     </w:t>
      </w:r>
      <w:r>
        <w:rPr>
          <w:rFonts w:hint="eastAsia" w:eastAsia="宋体"/>
          <w:spacing w:val="10"/>
          <w:u w:val="single" w:color="auto"/>
          <w:lang w:val="en-US" w:eastAsia="zh-CN"/>
        </w:rPr>
        <w:t xml:space="preserve">           </w:t>
      </w: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val="en-US" w:eastAsia="zh-CN" w:bidi="ar"/>
        </w:rPr>
        <w:t>原因于</w:t>
      </w:r>
      <w:r>
        <w:rPr>
          <w:spacing w:val="10"/>
          <w:u w:val="single" w:color="auto"/>
        </w:rPr>
        <w:t xml:space="preserve">     </w:t>
      </w:r>
      <w:r>
        <w:rPr>
          <w:rFonts w:hint="eastAsia" w:eastAsia="宋体"/>
          <w:spacing w:val="10"/>
          <w:u w:val="single" w:color="auto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val="en-US" w:eastAsia="zh-CN" w:bidi="ar"/>
        </w:rPr>
        <w:t>年</w:t>
      </w:r>
      <w:r>
        <w:rPr>
          <w:spacing w:val="10"/>
          <w:u w:val="single" w:color="auto"/>
        </w:rPr>
        <w:t xml:space="preserve">     </w:t>
      </w:r>
      <w:r>
        <w:rPr>
          <w:rFonts w:hint="eastAsia" w:eastAsia="宋体"/>
          <w:spacing w:val="10"/>
          <w:u w:val="single" w:color="auto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val="en-US" w:eastAsia="zh-CN" w:bidi="ar"/>
        </w:rPr>
        <w:t>月</w:t>
      </w:r>
      <w:r>
        <w:rPr>
          <w:spacing w:val="10"/>
          <w:u w:val="single" w:color="auto"/>
        </w:rPr>
        <w:t xml:space="preserve">     </w:t>
      </w:r>
      <w:r>
        <w:rPr>
          <w:rFonts w:hint="eastAsia" w:eastAsia="宋体"/>
          <w:spacing w:val="10"/>
          <w:u w:val="single" w:color="auto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val="en-US" w:eastAsia="zh-CN" w:bidi="ar"/>
        </w:rPr>
        <w:t>日从</w:t>
      </w:r>
      <w:r>
        <w:rPr>
          <w:spacing w:val="10"/>
          <w:u w:val="single" w:color="auto"/>
        </w:rPr>
        <w:t xml:space="preserve">     </w:t>
      </w:r>
      <w:r>
        <w:rPr>
          <w:rFonts w:hint="eastAsia" w:eastAsia="宋体"/>
          <w:spacing w:val="10"/>
          <w:u w:val="single" w:color="auto"/>
          <w:lang w:val="en-US" w:eastAsia="zh-CN"/>
        </w:rPr>
        <w:t xml:space="preserve">           </w:t>
      </w: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val="en-US" w:eastAsia="zh-CN" w:bidi="ar"/>
        </w:rPr>
        <w:t>（迁出地）整体搬迁至</w:t>
      </w:r>
      <w:r>
        <w:rPr>
          <w:spacing w:val="10"/>
          <w:u w:val="single" w:color="auto"/>
        </w:rPr>
        <w:t xml:space="preserve">     </w:t>
      </w:r>
      <w:r>
        <w:rPr>
          <w:rFonts w:hint="eastAsia" w:eastAsia="宋体"/>
          <w:spacing w:val="10"/>
          <w:u w:val="single" w:color="auto"/>
          <w:lang w:val="en-US" w:eastAsia="zh-CN"/>
        </w:rPr>
        <w:t xml:space="preserve">           </w:t>
      </w: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val="en-US" w:eastAsia="zh-CN" w:bidi="ar"/>
        </w:rPr>
        <w:t xml:space="preserve">（迁入地），现已完成跨区域迁移的工商变更登记等。 </w:t>
      </w:r>
    </w:p>
    <w:p w14:paraId="323E4656">
      <w:pPr>
        <w:keepNext w:val="0"/>
        <w:keepLines w:val="0"/>
        <w:pageBreakBefore w:val="0"/>
        <w:widowControl/>
        <w:suppressLineNumbers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left"/>
        <w:textAlignment w:val="baseline"/>
        <w:rPr>
          <w:rFonts w:hint="eastAsia" w:ascii="黑体" w:hAnsi="黑体" w:eastAsia="黑体" w:cs="黑体"/>
          <w:snapToGrid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snapToGrid w:val="0"/>
          <w:color w:val="000000"/>
          <w:kern w:val="0"/>
          <w:sz w:val="32"/>
          <w:szCs w:val="32"/>
          <w:lang w:val="en-US" w:eastAsia="zh-CN" w:bidi="ar"/>
        </w:rPr>
        <w:t xml:space="preserve">二、高新技术企业资格核实情况 </w:t>
      </w:r>
    </w:p>
    <w:p w14:paraId="3BCF457E">
      <w:pPr>
        <w:keepNext w:val="0"/>
        <w:keepLines w:val="0"/>
        <w:pageBreakBefore w:val="0"/>
        <w:widowControl/>
        <w:suppressLineNumbers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left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val="en-US" w:eastAsia="zh-CN" w:bidi="ar"/>
        </w:rPr>
        <w:t>1.高新技术领域：企业主要高新技术产品（服务）为，属于《高新技术企业认定管理办法》中的技术领域。</w:t>
      </w:r>
    </w:p>
    <w:p w14:paraId="336B64BC">
      <w:pPr>
        <w:keepNext w:val="0"/>
        <w:keepLines w:val="0"/>
        <w:pageBreakBefore w:val="0"/>
        <w:widowControl/>
        <w:suppressLineNumbers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left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val="en-US" w:eastAsia="zh-CN" w:bidi="ar"/>
        </w:rPr>
        <w:t>2.知识产权情况：</w:t>
      </w:r>
      <w:r>
        <w:rPr>
          <w:spacing w:val="10"/>
          <w:u w:val="single" w:color="auto"/>
        </w:rPr>
        <w:t xml:space="preserve">             </w:t>
      </w: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val="en-US" w:eastAsia="zh-CN" w:bidi="ar"/>
        </w:rPr>
        <w:t xml:space="preserve">（有效知识产权数量、清单，及知识产权对主要高新产品或服务的支撑情况等）。 </w:t>
      </w:r>
    </w:p>
    <w:p w14:paraId="30E4DC7B">
      <w:pPr>
        <w:keepNext w:val="0"/>
        <w:keepLines w:val="0"/>
        <w:pageBreakBefore w:val="0"/>
        <w:widowControl/>
        <w:suppressLineNumbers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left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val="en-US" w:eastAsia="zh-CN" w:bidi="ar"/>
        </w:rPr>
        <w:t>3.科技人员占比情况：现拥有职工总数</w:t>
      </w:r>
      <w:r>
        <w:rPr>
          <w:spacing w:val="10"/>
          <w:u w:val="single" w:color="auto"/>
        </w:rPr>
        <w:t xml:space="preserve">       </w:t>
      </w: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val="en-US" w:eastAsia="zh-CN" w:bidi="ar"/>
        </w:rPr>
        <w:t>人，其中研发人员</w:t>
      </w:r>
      <w:r>
        <w:rPr>
          <w:spacing w:val="10"/>
          <w:u w:val="single" w:color="auto"/>
        </w:rPr>
        <w:t xml:space="preserve">       </w:t>
      </w: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val="en-US" w:eastAsia="zh-CN" w:bidi="ar"/>
        </w:rPr>
        <w:t>人，研发人员占职工总数比例为</w:t>
      </w:r>
      <w:r>
        <w:rPr>
          <w:spacing w:val="10"/>
          <w:u w:val="single" w:color="auto"/>
        </w:rPr>
        <w:t xml:space="preserve">       </w:t>
      </w: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val="en-US" w:eastAsia="zh-CN" w:bidi="ar"/>
        </w:rPr>
        <w:t xml:space="preserve">%。 </w:t>
      </w:r>
    </w:p>
    <w:p w14:paraId="65B58FA8">
      <w:pPr>
        <w:keepNext w:val="0"/>
        <w:keepLines w:val="0"/>
        <w:pageBreakBefore w:val="0"/>
        <w:widowControl/>
        <w:suppressLineNumbers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left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val="en-US" w:eastAsia="zh-CN" w:bidi="ar"/>
        </w:rPr>
        <w:t>4.研发费用占比情况：近一年销售收入</w:t>
      </w:r>
      <w:r>
        <w:rPr>
          <w:spacing w:val="10"/>
          <w:u w:val="single" w:color="auto"/>
        </w:rPr>
        <w:t xml:space="preserve">       </w:t>
      </w: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val="en-US" w:eastAsia="zh-CN" w:bidi="ar"/>
        </w:rPr>
        <w:t>万元。近</w:t>
      </w:r>
    </w:p>
    <w:p w14:paraId="78CFC401">
      <w:pPr>
        <w:keepNext w:val="0"/>
        <w:keepLines w:val="0"/>
        <w:pageBreakBefore w:val="0"/>
        <w:widowControl/>
        <w:suppressLineNumbers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left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val="en-US" w:eastAsia="zh-CN" w:bidi="ar"/>
        </w:rPr>
        <w:t>三年研发费用占同期销售收入的比例为</w:t>
      </w:r>
      <w:r>
        <w:rPr>
          <w:spacing w:val="10"/>
          <w:u w:val="single" w:color="auto"/>
        </w:rPr>
        <w:t xml:space="preserve">     </w:t>
      </w: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val="en-US" w:eastAsia="zh-CN" w:bidi="ar"/>
        </w:rPr>
        <w:t xml:space="preserve">%，其中，在中 </w:t>
      </w:r>
    </w:p>
    <w:p w14:paraId="6E530576">
      <w:pPr>
        <w:keepNext w:val="0"/>
        <w:keepLines w:val="0"/>
        <w:pageBreakBefore w:val="0"/>
        <w:widowControl/>
        <w:suppressLineNumbers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left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val="en-US" w:eastAsia="zh-CN" w:bidi="ar"/>
        </w:rPr>
        <w:t>国境内发生的研发费用占全部研发费用的比例为</w:t>
      </w:r>
      <w:r>
        <w:rPr>
          <w:spacing w:val="10"/>
          <w:u w:val="single" w:color="auto"/>
        </w:rPr>
        <w:t xml:space="preserve">     </w:t>
      </w: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val="en-US" w:eastAsia="zh-CN" w:bidi="ar"/>
        </w:rPr>
        <w:t xml:space="preserve">%。 </w:t>
      </w:r>
    </w:p>
    <w:p w14:paraId="7511B55A">
      <w:pPr>
        <w:keepNext w:val="0"/>
        <w:keepLines w:val="0"/>
        <w:pageBreakBefore w:val="0"/>
        <w:widowControl/>
        <w:suppressLineNumbers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left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val="en-US" w:eastAsia="zh-CN" w:bidi="ar"/>
        </w:rPr>
        <w:t>5.高新技术产品（服务）收入占比：近一年高新技术产品（服务）收入占同期总收入的比例为</w:t>
      </w:r>
      <w:r>
        <w:rPr>
          <w:spacing w:val="10"/>
          <w:u w:val="single" w:color="auto"/>
        </w:rPr>
        <w:t xml:space="preserve">     </w:t>
      </w: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val="en-US" w:eastAsia="zh-CN" w:bidi="ar"/>
        </w:rPr>
        <w:t xml:space="preserve">%。 </w:t>
      </w:r>
    </w:p>
    <w:p w14:paraId="1B7D25F8">
      <w:pPr>
        <w:keepNext w:val="0"/>
        <w:keepLines w:val="0"/>
        <w:pageBreakBefore w:val="0"/>
        <w:widowControl/>
        <w:suppressLineNumbers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left"/>
        <w:textAlignment w:val="baseline"/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val="en-US" w:eastAsia="zh-CN" w:bidi="ar"/>
        </w:rPr>
      </w:pPr>
    </w:p>
    <w:p w14:paraId="57482A6E">
      <w:pPr>
        <w:keepNext w:val="0"/>
        <w:keepLines w:val="0"/>
        <w:pageBreakBefore w:val="0"/>
        <w:widowControl/>
        <w:suppressLineNumbers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left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val="en-US" w:eastAsia="zh-CN" w:bidi="ar"/>
        </w:rPr>
        <w:t xml:space="preserve">附件：高新技术企业资格继续有效申请书 </w:t>
      </w:r>
    </w:p>
    <w:p w14:paraId="5B838B4C">
      <w:pPr>
        <w:keepNext w:val="0"/>
        <w:keepLines w:val="0"/>
        <w:pageBreakBefore w:val="0"/>
        <w:widowControl/>
        <w:suppressLineNumbers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left"/>
        <w:textAlignment w:val="baseline"/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val="en-US" w:eastAsia="zh-CN" w:bidi="ar"/>
        </w:rPr>
      </w:pPr>
    </w:p>
    <w:p w14:paraId="185101AA">
      <w:pPr>
        <w:keepNext w:val="0"/>
        <w:keepLines w:val="0"/>
        <w:pageBreakBefore w:val="0"/>
        <w:widowControl/>
        <w:suppressLineNumbers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left"/>
        <w:textAlignment w:val="baseline"/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val="en-US" w:eastAsia="zh-CN" w:bidi="ar"/>
        </w:rPr>
      </w:pPr>
    </w:p>
    <w:p w14:paraId="0F659942">
      <w:pPr>
        <w:keepNext w:val="0"/>
        <w:keepLines w:val="0"/>
        <w:pageBreakBefore w:val="0"/>
        <w:widowControl/>
        <w:suppressLineNumbers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left"/>
        <w:textAlignment w:val="baseline"/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val="en-US" w:eastAsia="zh-CN" w:bidi="ar"/>
        </w:rPr>
      </w:pPr>
    </w:p>
    <w:p w14:paraId="200B5AE0">
      <w:pPr>
        <w:keepNext w:val="0"/>
        <w:keepLines w:val="0"/>
        <w:pageBreakBefore w:val="0"/>
        <w:widowControl/>
        <w:suppressLineNumbers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1610" w:firstLineChars="700"/>
        <w:jc w:val="left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spacing w:val="10"/>
          <w:u w:val="single" w:color="auto"/>
        </w:rPr>
        <w:t xml:space="preserve">            </w:t>
      </w: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val="en-US" w:eastAsia="zh-CN" w:bidi="ar"/>
        </w:rPr>
        <w:t xml:space="preserve">高新技术企业主管部门（盖章） </w:t>
      </w:r>
    </w:p>
    <w:p w14:paraId="22F44E1B">
      <w:pPr>
        <w:keepNext w:val="0"/>
        <w:keepLines w:val="0"/>
        <w:pageBreakBefore w:val="0"/>
        <w:widowControl/>
        <w:suppressLineNumbers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1610" w:firstLineChars="700"/>
        <w:jc w:val="left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spacing w:val="10"/>
          <w:u w:val="single" w:color="auto"/>
        </w:rPr>
        <w:t xml:space="preserve">           </w:t>
      </w: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val="en-US" w:eastAsia="zh-CN" w:bidi="ar"/>
        </w:rPr>
        <w:t>年</w:t>
      </w:r>
      <w:r>
        <w:rPr>
          <w:spacing w:val="10"/>
          <w:u w:val="single" w:color="auto"/>
        </w:rPr>
        <w:t xml:space="preserve">        </w:t>
      </w: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val="en-US" w:eastAsia="zh-CN" w:bidi="ar"/>
        </w:rPr>
        <w:t>月</w:t>
      </w:r>
      <w:r>
        <w:rPr>
          <w:spacing w:val="10"/>
          <w:u w:val="single" w:color="auto"/>
        </w:rPr>
        <w:t xml:space="preserve">        </w:t>
      </w: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val="en-US" w:eastAsia="zh-CN" w:bidi="ar"/>
        </w:rPr>
        <w:t xml:space="preserve">日 </w:t>
      </w:r>
    </w:p>
    <w:p w14:paraId="3D101A84">
      <w:pPr>
        <w:keepNext w:val="0"/>
        <w:keepLines w:val="0"/>
        <w:pageBreakBefore w:val="0"/>
        <w:widowControl/>
        <w:suppressLineNumbers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left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val="en-US" w:eastAsia="zh-CN" w:bidi="ar"/>
        </w:rPr>
        <w:t>（部门联人：</w:t>
      </w:r>
      <w:r>
        <w:rPr>
          <w:spacing w:val="10"/>
          <w:u w:val="single" w:color="auto"/>
        </w:rPr>
        <w:t xml:space="preserve">            </w:t>
      </w: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val="en-US" w:eastAsia="zh-CN" w:bidi="ar"/>
        </w:rPr>
        <w:t>，电话：</w:t>
      </w:r>
      <w:r>
        <w:rPr>
          <w:spacing w:val="10"/>
          <w:u w:val="single" w:color="auto"/>
        </w:rPr>
        <w:t xml:space="preserve">            </w:t>
      </w: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val="en-US" w:eastAsia="zh-CN" w:bidi="ar"/>
        </w:rPr>
        <w:t>）</w:t>
      </w:r>
    </w:p>
    <w:p w14:paraId="7C66A0F2"/>
    <w:sectPr>
      <w:footerReference r:id="rId5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  <w:embedRegular r:id="rId1" w:fontKey="{E3D3F643-1F9B-4749-BED9-5384BD51C40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FangSong_GB2312">
    <w:altName w:val="仿宋_GB2312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2" w:fontKey="{8F012083-ADF3-4036-921E-7D870E46D7D0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D42EFA33-BFF1-4503-983E-FB6992F57D7D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3E4B12">
    <w:pPr>
      <w:spacing w:line="176" w:lineRule="auto"/>
      <w:ind w:left="6806"/>
      <w:rPr>
        <w:rFonts w:ascii="Times New Roman" w:hAnsi="Times New Roman" w:eastAsia="Times New Roman" w:cs="Times New Roman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0F08AF"/>
    <w:rsid w:val="370F08AF"/>
    <w:rsid w:val="71436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FangSong_GB2312" w:hAnsi="FangSong_GB2312" w:eastAsia="FangSong_GB2312" w:cs="FangSong_GB2312"/>
      <w:sz w:val="31"/>
      <w:szCs w:val="31"/>
      <w:lang w:val="en-US" w:eastAsia="en-US" w:bidi="ar-SA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6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2025-02-28T02:00:00Z</dcterms:created>
  <dc:creator>毛毛扎</dc:creator>
  <cp:lastModifiedBy>毛毛扎</cp:lastModifiedBy>
  <dcterms:modified xsi:type="dcterms:W3CDTF">2025-02-28T02:15:39Z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CEFED4505F78403D90B8360033C959D5_11</vt:lpwstr>
  </property>
  <property fmtid="{D5CDD505-2E9C-101B-9397-08002B2CF9AE}" pid="4" name="KSOTemplateDocerSaveRecord">
    <vt:lpwstr>eyJoZGlkIjoiMjcxYzBiZWI5MzFjZmVjODBlYWEzYTU0MGE2MjA4NDIiLCJ1c2VySWQiOiI3MjIxOTkzOTIifQ==</vt:lpwstr>
  </property>
</Properties>
</file>