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7C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72BA35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p w14:paraId="176BFB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西藏自治区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专精特新中小企业认定标准</w:t>
      </w:r>
    </w:p>
    <w:p w14:paraId="150F09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0D1B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一、认定条件</w:t>
      </w:r>
    </w:p>
    <w:p w14:paraId="4DDF45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同时满足以下四项条件即视为满足认定条件∶</w:t>
      </w:r>
    </w:p>
    <w:p w14:paraId="5B7791D4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从事特定细分市场时间达到2年以上。</w:t>
      </w:r>
    </w:p>
    <w:p w14:paraId="7EB642B4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（二）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上年度研发费用总额不低于100万元，且占营业收入总额比重不低于3%。</w:t>
      </w:r>
    </w:p>
    <w:p w14:paraId="455DBB34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（三）上年度营业收入总额在1000万元以上，或上年度营业收入总额在1000万元以下，但近2年新增股权融资总额（合格机构投资者的实缴额）达到2000万元以上。</w:t>
      </w:r>
    </w:p>
    <w:p w14:paraId="612DE2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（四）评价得分达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到60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分以上或满足下列条件之一∶</w:t>
      </w:r>
    </w:p>
    <w:p w14:paraId="2B66F84C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1.近三年获得过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自治区级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科技奖励，并在获奖单位中排名前三；或获得国家级科技奖励，并在获奖单位中排名前五。</w:t>
      </w:r>
    </w:p>
    <w:p w14:paraId="177E3D9C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2.近两年研发费用总额均值在1000万元以上。</w:t>
      </w:r>
    </w:p>
    <w:p w14:paraId="14EAABA9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3.近两年新增股权融资总额（合格机构投资者的实缴额）6000万元以上。</w:t>
      </w:r>
    </w:p>
    <w:p w14:paraId="676F667C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4.近三年进入“创客中国”中小企业创新创业大赛全国500强企业组名单。</w:t>
      </w:r>
    </w:p>
    <w:p w14:paraId="69ADD3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二、评价指标</w:t>
      </w:r>
    </w:p>
    <w:p w14:paraId="527024E7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包括专业化、精细化、特色化和创新能力四类十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四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个指标，评价结果依分值计算，满分为100分。</w:t>
      </w:r>
    </w:p>
    <w:p w14:paraId="3B711C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（一）专业化指标（满分25分）</w:t>
      </w:r>
    </w:p>
    <w:p w14:paraId="3A7BD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1.上年度主营业务收入总额占营业收入总额比重（满分5分）</w:t>
      </w:r>
    </w:p>
    <w:p w14:paraId="2FD85570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A.80%以上（5分）</w:t>
      </w:r>
    </w:p>
    <w:p w14:paraId="0D06CDAE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B.70%-80%（3分）</w:t>
      </w:r>
    </w:p>
    <w:p w14:paraId="1D2A1497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C.60%-70%（1分）</w:t>
      </w:r>
    </w:p>
    <w:p w14:paraId="06D05AAA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D.60%以下（0分）</w:t>
      </w:r>
    </w:p>
    <w:p w14:paraId="56B28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2.近2年主营业务收入平均增长率（满分10分）</w:t>
      </w:r>
    </w:p>
    <w:p w14:paraId="5B070A52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A.10%以上（10分）</w:t>
      </w:r>
    </w:p>
    <w:p w14:paraId="10A27731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B.8%-10%（8分）</w:t>
      </w:r>
    </w:p>
    <w:p w14:paraId="3A5C5241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C.6%-8%（6分）</w:t>
      </w:r>
    </w:p>
    <w:p w14:paraId="770E2CD7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D.4%-6%（4分）</w:t>
      </w:r>
    </w:p>
    <w:p w14:paraId="615271D5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E.0%-4%（2分）</w:t>
      </w:r>
    </w:p>
    <w:p w14:paraId="4BC7A045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F.0%以下（0分）</w:t>
      </w:r>
    </w:p>
    <w:p w14:paraId="157D8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3.从事特定细分市场年限（满分5分）</w:t>
      </w:r>
    </w:p>
    <w:p w14:paraId="44AD52D1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每满2年得1分，最高不超过5分。</w:t>
      </w:r>
    </w:p>
    <w:p w14:paraId="4F4DE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4.主导产品所属领域情况（满分5分）</w:t>
      </w:r>
    </w:p>
    <w:p w14:paraId="24598E68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A.在产业链供应链关键环节及关键领域“补短板”“锻长板”“填空白”取得实际成效（5分）</w:t>
      </w:r>
    </w:p>
    <w:p w14:paraId="657ED3CC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B.属于工业“六基”领域、中华老字号名录或企业主导产品服务关键产业链重点龙头企业（3分）</w:t>
      </w:r>
    </w:p>
    <w:p w14:paraId="399F4BDB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C.不属于以上情况（0分）</w:t>
      </w:r>
    </w:p>
    <w:p w14:paraId="19968B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（二）精细化指标（满分25分）</w:t>
      </w:r>
    </w:p>
    <w:p w14:paraId="18AC3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5.数字化水平（满分5分）</w:t>
      </w:r>
    </w:p>
    <w:p w14:paraId="3D596E33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A.三级以上（5分）</w:t>
      </w:r>
    </w:p>
    <w:p w14:paraId="7D894E0A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B.二级（3分）</w:t>
      </w:r>
    </w:p>
    <w:p w14:paraId="61523CF1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C.一级（0分）</w:t>
      </w:r>
    </w:p>
    <w:p w14:paraId="2CDD3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6.质量管理水平（每满足一项加3分，最高不超过5分）</w:t>
      </w:r>
    </w:p>
    <w:p w14:paraId="38F4F155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A.获得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自治区级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以上质量奖荣誉</w:t>
      </w:r>
    </w:p>
    <w:p w14:paraId="6EAF8A48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B.建立质量管理体系，获得ISO9001等质量管理体系认证证书</w:t>
      </w:r>
    </w:p>
    <w:p w14:paraId="63FDB70C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C.拥有自主品牌</w:t>
      </w:r>
    </w:p>
    <w:p w14:paraId="0B28D71D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D.参与制修订标准</w:t>
      </w:r>
    </w:p>
    <w:p w14:paraId="77785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7.上年度净利润率（满分10分）</w:t>
      </w:r>
    </w:p>
    <w:p w14:paraId="0F64FE33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A.10%以上（10分）</w:t>
      </w:r>
    </w:p>
    <w:p w14:paraId="4AC30C98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B.8%-10%（8分）</w:t>
      </w:r>
    </w:p>
    <w:p w14:paraId="53158956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C.6%-8%（6分）</w:t>
      </w:r>
    </w:p>
    <w:p w14:paraId="5808DF1B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D.4%-6%（4分）</w:t>
      </w:r>
    </w:p>
    <w:p w14:paraId="215C1DAC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E.2%-4%（2分）</w:t>
      </w:r>
    </w:p>
    <w:p w14:paraId="19FCCD15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F.2%以下（0分）</w:t>
      </w:r>
    </w:p>
    <w:p w14:paraId="01EDD6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8.上年度资产负债率（满分5分）</w:t>
      </w:r>
    </w:p>
    <w:p w14:paraId="48411935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A.50%以下（5分）</w:t>
      </w:r>
    </w:p>
    <w:p w14:paraId="58A2A56C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B.50%-60%（3分）</w:t>
      </w:r>
    </w:p>
    <w:p w14:paraId="650E9460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C.60%-70%（1分）</w:t>
      </w:r>
    </w:p>
    <w:p w14:paraId="643A69CF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D.70%以上（0分）</w:t>
      </w:r>
    </w:p>
    <w:p w14:paraId="0B8B3F7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</w:rPr>
        <w:t>（三）特色化指标（满分15分）</w:t>
      </w:r>
    </w:p>
    <w:p w14:paraId="10D5EF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 9.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企业研制生产具有地方或企业特色的产品，符合自治区产业发展方向（满分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分）</w:t>
      </w:r>
    </w:p>
    <w:p w14:paraId="653F46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A.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属于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自治区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文化旅游产业、清洁能源产业、绿色工业、现代服务业、高原特色农牧产业、藏医药产业、高新数字产业、边贸物流业等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产业（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分）</w:t>
      </w:r>
    </w:p>
    <w:p w14:paraId="15C1E5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B.属于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地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（市）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现行五年规划中明确的其他支持产业领域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（3分）</w:t>
      </w:r>
    </w:p>
    <w:p w14:paraId="1424B5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 xml:space="preserve">    C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.不属于以上情况（0分）</w:t>
      </w:r>
    </w:p>
    <w:p w14:paraId="171977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10.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企业技术和产品有自身独特优势，及主导产品在细分市场竞争力（每满足一项加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分，最高不超过1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分）</w:t>
      </w:r>
    </w:p>
    <w:p w14:paraId="1865C9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A.掌握特色工艺、技术、配方或服务，并有相关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专利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技术或其他支撑材料</w:t>
      </w:r>
    </w:p>
    <w:p w14:paraId="18082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B.实现绿色低碳发展，拥有绿色产品、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绿色供应链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或绿色工厂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等相关认定</w:t>
      </w:r>
    </w:p>
    <w:p w14:paraId="1BAB61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C.积极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实施数字化转型，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取得两化融合管理体系、数字化车间、智能制造示范等相关认定</w:t>
      </w:r>
    </w:p>
    <w:p w14:paraId="164B84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D.获得地（市）级及以上体现企业、产品特色或技术创新能力的相关认定</w:t>
      </w:r>
    </w:p>
    <w:p w14:paraId="7EB083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（四）创新能力指标（满分35分）</w:t>
      </w:r>
    </w:p>
    <w:p w14:paraId="3F5F3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.与企业主导产品相关的有效知识产权数量（满分10 分）</w:t>
      </w:r>
    </w:p>
    <w:p w14:paraId="1FEF3814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A.I类高价值知识产权1项以上（10分）</w:t>
      </w:r>
    </w:p>
    <w:p w14:paraId="5E470D3B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B.自主研发I类知识产权1项以上（8分）</w:t>
      </w:r>
    </w:p>
    <w:p w14:paraId="54B2EE09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C.I类知识产权1项以上（6分）</w:t>
      </w:r>
    </w:p>
    <w:p w14:paraId="020FBA36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D.II类知识产权1项以上（2分）</w:t>
      </w:r>
    </w:p>
    <w:p w14:paraId="3EC63114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E.无（0分）</w:t>
      </w:r>
    </w:p>
    <w:p w14:paraId="0DAD04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.上年度研发费用投入（满分10分）</w:t>
      </w:r>
    </w:p>
    <w:p w14:paraId="3879D4DA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A.研发费用总额500万元以上或研发费用总额占营业收入总额比重在10%以上（10分）</w:t>
      </w:r>
    </w:p>
    <w:p w14:paraId="4170AC6E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B.研发费用总额400-500万元或研发费用总额占营业收入总额比重在8%-10%（8分）</w:t>
      </w:r>
    </w:p>
    <w:p w14:paraId="32CBF4FC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C.研发费用总额300-400万元或研发费用总额占营业收入总额比重在6%-8%（6分）</w:t>
      </w:r>
    </w:p>
    <w:p w14:paraId="1A35EE8A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D.研发费用总额200-300万元或研发费用总额占营业收入总额比重在4%-6%（4分）</w:t>
      </w:r>
    </w:p>
    <w:p w14:paraId="74AC2A9A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E.研发费用总额100-200万元或研发费用总额占营业收入总额比重在3%-4%（2分）</w:t>
      </w:r>
    </w:p>
    <w:p w14:paraId="3213FAE1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F.不属于以上情况（0分）</w:t>
      </w:r>
    </w:p>
    <w:p w14:paraId="76975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.上年度研发人员占比（满分5分）</w:t>
      </w:r>
    </w:p>
    <w:p w14:paraId="60CBD785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A.20%以上（5分）</w:t>
      </w:r>
    </w:p>
    <w:p w14:paraId="247303DF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B.10%-20%（3分）</w:t>
      </w:r>
    </w:p>
    <w:p w14:paraId="12E4C487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C.5%-10%（1分）</w:t>
      </w:r>
    </w:p>
    <w:p w14:paraId="222F6092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D.5%以下（0分）</w:t>
      </w:r>
    </w:p>
    <w:p w14:paraId="136E1E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.建立研发机构级别（满分10分）</w:t>
      </w:r>
    </w:p>
    <w:p w14:paraId="7EA8F4BD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A.国家级（10分）</w:t>
      </w:r>
    </w:p>
    <w:p w14:paraId="22DD6D3F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B.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区级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（8分）</w:t>
      </w:r>
    </w:p>
    <w:p w14:paraId="36A37F9A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C.市级（4分）</w:t>
      </w:r>
    </w:p>
    <w:p w14:paraId="415913FB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D.市级以下（2分）</w:t>
      </w:r>
    </w:p>
    <w:p w14:paraId="1D95A9F7">
      <w:pPr>
        <w:keepNext w:val="0"/>
        <w:keepLines w:val="0"/>
        <w:pageBreakBefore w:val="0"/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E.未建立研发机构（0分）</w:t>
      </w:r>
    </w:p>
    <w:p w14:paraId="71B7194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CFEE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97F03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7F03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916CC0"/>
    <w:rsid w:val="3D2E6DB2"/>
    <w:rsid w:val="BF7F3081"/>
    <w:rsid w:val="DA916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1593</Words>
  <Characters>1876</Characters>
  <Lines>0</Lines>
  <Paragraphs>0</Paragraphs>
  <TotalTime>0</TotalTime>
  <ScaleCrop>false</ScaleCrop>
  <LinksUpToDate>false</LinksUpToDate>
  <CharactersWithSpaces>1905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2023-08-30T02:01:00Z</dcterms:created>
  <dc:creator>casic</dc:creator>
  <cp:lastModifiedBy>ཨ་ཁུ་བསྟན་བཛིན་</cp:lastModifiedBy>
  <dcterms:modified xsi:type="dcterms:W3CDTF">2025-01-17T03:09:25Z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C0BBBE7DB4514403A71D5943E8F1601B_13</vt:lpwstr>
  </property>
</Properties>
</file>