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61" w:rsidRDefault="00282761" w:rsidP="00282761">
      <w:pPr>
        <w:spacing w:line="520" w:lineRule="exact"/>
        <w:rPr>
          <w:sz w:val="28"/>
          <w:szCs w:val="28"/>
        </w:rPr>
      </w:pPr>
      <w:r>
        <w:rPr>
          <w:rFonts w:hint="eastAsia"/>
          <w:sz w:val="28"/>
          <w:szCs w:val="28"/>
        </w:rPr>
        <w:t>附</w:t>
      </w:r>
      <w:r>
        <w:rPr>
          <w:sz w:val="28"/>
          <w:szCs w:val="28"/>
        </w:rPr>
        <w:t>2</w:t>
      </w:r>
      <w:r>
        <w:rPr>
          <w:rFonts w:hint="eastAsia"/>
          <w:sz w:val="28"/>
          <w:szCs w:val="28"/>
        </w:rPr>
        <w:t>：</w:t>
      </w:r>
    </w:p>
    <w:p w:rsidR="00282761" w:rsidRDefault="00282761" w:rsidP="00282761">
      <w:pPr>
        <w:spacing w:line="520" w:lineRule="exact"/>
        <w:jc w:val="center"/>
        <w:rPr>
          <w:b/>
          <w:sz w:val="32"/>
          <w:szCs w:val="32"/>
        </w:rPr>
      </w:pPr>
      <w:bookmarkStart w:id="0" w:name="_GoBack"/>
      <w:r>
        <w:rPr>
          <w:rFonts w:hint="eastAsia"/>
          <w:b/>
          <w:sz w:val="32"/>
          <w:szCs w:val="32"/>
        </w:rPr>
        <w:t>银行卡透支款项呆账认定标准及核销所需相关材料</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6930"/>
        <w:gridCol w:w="4620"/>
      </w:tblGrid>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bookmarkEnd w:id="0"/>
          <w:p w:rsidR="00282761" w:rsidRDefault="00282761">
            <w:pPr>
              <w:spacing w:line="520" w:lineRule="exact"/>
              <w:jc w:val="center"/>
              <w:rPr>
                <w:b/>
                <w:sz w:val="28"/>
                <w:szCs w:val="28"/>
              </w:rPr>
            </w:pPr>
            <w:r>
              <w:rPr>
                <w:rFonts w:hint="eastAsia"/>
                <w:b/>
                <w:sz w:val="28"/>
                <w:szCs w:val="28"/>
              </w:rPr>
              <w:t>序号</w:t>
            </w:r>
          </w:p>
        </w:tc>
        <w:tc>
          <w:tcPr>
            <w:tcW w:w="6930"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b/>
                <w:sz w:val="28"/>
                <w:szCs w:val="28"/>
              </w:rPr>
            </w:pPr>
            <w:r>
              <w:rPr>
                <w:rFonts w:hint="eastAsia"/>
                <w:b/>
                <w:sz w:val="28"/>
                <w:szCs w:val="28"/>
              </w:rPr>
              <w:t>认定标准</w:t>
            </w:r>
          </w:p>
        </w:tc>
        <w:tc>
          <w:tcPr>
            <w:tcW w:w="4620"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b/>
                <w:sz w:val="28"/>
                <w:szCs w:val="28"/>
              </w:rPr>
            </w:pPr>
            <w:r>
              <w:rPr>
                <w:rFonts w:hint="eastAsia"/>
                <w:b/>
                <w:sz w:val="28"/>
                <w:szCs w:val="28"/>
              </w:rPr>
              <w:t>核销所需相关材料</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（一）</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持卡人依法宣告破产，金融企业对其财产进行清偿，并对担保人进行追偿</w:t>
            </w:r>
          </w:p>
          <w:p w:rsidR="00282761" w:rsidRDefault="00282761">
            <w:pPr>
              <w:spacing w:line="240" w:lineRule="atLeast"/>
              <w:rPr>
                <w:szCs w:val="21"/>
              </w:rPr>
            </w:pPr>
            <w:r>
              <w:rPr>
                <w:rFonts w:hint="eastAsia"/>
                <w:szCs w:val="21"/>
              </w:rPr>
              <w:t>后，仍未能收回的剩余债权。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破产证明和财产清偿证明，财产追偿证明。</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（二）</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持卡人死亡，或者按照相关民事法律规定宣告失踪或者死亡，或者丧失完全民事行为能力或劳动能力，</w:t>
            </w:r>
            <w:proofErr w:type="gramStart"/>
            <w:r>
              <w:rPr>
                <w:rFonts w:hint="eastAsia"/>
                <w:szCs w:val="21"/>
              </w:rPr>
              <w:t>金融企生对</w:t>
            </w:r>
            <w:proofErr w:type="gramEnd"/>
            <w:r>
              <w:rPr>
                <w:rFonts w:hint="eastAsia"/>
                <w:szCs w:val="21"/>
              </w:rPr>
              <w:t>其财产或者遗产进行追偿，并对担保人进行追偿后，仍未能收回的剩余债权。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死亡或者失踪证明、司法部门或者县级以上医院</w:t>
            </w:r>
          </w:p>
          <w:p w:rsidR="00282761" w:rsidRDefault="00282761">
            <w:pPr>
              <w:spacing w:line="240" w:lineRule="atLeast"/>
              <w:rPr>
                <w:szCs w:val="21"/>
              </w:rPr>
            </w:pPr>
            <w:r>
              <w:rPr>
                <w:rFonts w:hint="eastAsia"/>
                <w:szCs w:val="21"/>
              </w:rPr>
              <w:t>出具的借款人丧失完全民事行为能力或者劳动能力的证明和财产追偿证明。</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（三）</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持卡人遭受自然灾害或者意外事故，损失不能获得保险赔偿，或者以保险赔偿后，确实无力偿还部分或者全部债务，金融企业对其财产进行清偿，并对担保人进行追偿后，仍未能收回的剩余债权。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自然灾害或者意外事故证明、保险赔偿证明和财产清偿证明，财产追偿证明。</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（四）</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持卡人因经营管理不善、资不抵债，经有关部门批准关闭、被县级及县级以上工商行政管理部门依法注销、吊销营业执照，或者超过</w:t>
            </w:r>
            <w:r>
              <w:rPr>
                <w:szCs w:val="21"/>
              </w:rPr>
              <w:t>3</w:t>
            </w:r>
            <w:r>
              <w:rPr>
                <w:rFonts w:hint="eastAsia"/>
                <w:szCs w:val="21"/>
              </w:rPr>
              <w:t>年未履行企业年度报告公示义务，金融企业对持卡人和担保人进行追偿后，仍未能收回的剩余债权。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有关管理部门批准持卡人关闭的文件和工商行政管理部门注销，吊销持卡人营业执照的证明和财产清偿证明，财产追偿证明。</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（五）</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持卡人触犯刑法，依法被判处刑罚，导致其丧失还款能力，其财产不足归还所透支款项，又无其他债务承担者，金融企业经追偿后，仍未能收回的剩余债权。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法院裁定证明和财产清偿证明、财产追偿证明。</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（六）</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由于持卡人和担保人不能偿还到期债务，金融企业诉诸法律，经法院判决或者仲裁并经强制执行程序后，持卡人和担保人虽有财产，但对持卡人和担保人强制执行超过</w:t>
            </w:r>
            <w:r>
              <w:rPr>
                <w:szCs w:val="21"/>
              </w:rPr>
              <w:t>180</w:t>
            </w:r>
            <w:r>
              <w:rPr>
                <w:rFonts w:hint="eastAsia"/>
                <w:szCs w:val="21"/>
              </w:rPr>
              <w:t>天以上仍未能收回的剩余债权；或者持卡人和担保人虽有财产，但进入强制执行程序后，由于执行困难等原因，经法院裁定终结（中止）执行或者终结本次执行程序的剩余债权；或者持卡人和担</w:t>
            </w:r>
          </w:p>
          <w:p w:rsidR="00282761" w:rsidRDefault="00282761">
            <w:pPr>
              <w:spacing w:line="240" w:lineRule="atLeast"/>
              <w:rPr>
                <w:szCs w:val="21"/>
              </w:rPr>
            </w:pPr>
            <w:r>
              <w:rPr>
                <w:rFonts w:hint="eastAsia"/>
                <w:szCs w:val="21"/>
              </w:rPr>
              <w:t>保人无财产可执行，法院裁定终结（中止）执行或者终结本次执行程序的</w:t>
            </w:r>
            <w:r>
              <w:rPr>
                <w:rFonts w:hint="eastAsia"/>
                <w:szCs w:val="21"/>
              </w:rPr>
              <w:lastRenderedPageBreak/>
              <w:t>剩余债权；经法院调解达成和解协议，按和解协议无法追偿的剩余债权。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lastRenderedPageBreak/>
              <w:t>诉讼判决书、仲裁书或者法院裁定证明，强制执行证明、和解协议，内部证据。</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lastRenderedPageBreak/>
              <w:t>（七）</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对持卡人和担保人诉诸法律后，因持卡人和担保人主体资格不符或者消亡等原因，被法院驳回起诉或判决借款人不承担（或者部分承担）责任；或者因借款合同、担保合同等权利凭证遗失或者超过诉讼时效，金融企业经追偿后，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法院驳回起诉证明或判决书、裁定书、民事调解书，仲裁裁决书或仲裁调解书；</w:t>
            </w:r>
            <w:proofErr w:type="gramStart"/>
            <w:r>
              <w:rPr>
                <w:rFonts w:hint="eastAsia"/>
                <w:szCs w:val="21"/>
              </w:rPr>
              <w:t>因权利</w:t>
            </w:r>
            <w:proofErr w:type="gramEnd"/>
            <w:r>
              <w:rPr>
                <w:rFonts w:hint="eastAsia"/>
                <w:szCs w:val="21"/>
              </w:rPr>
              <w:t>凭证遗失无法诉诸法律的，</w:t>
            </w:r>
            <w:proofErr w:type="gramStart"/>
            <w:r>
              <w:rPr>
                <w:rFonts w:hint="eastAsia"/>
                <w:szCs w:val="21"/>
              </w:rPr>
              <w:t>提交台</w:t>
            </w:r>
            <w:proofErr w:type="gramEnd"/>
            <w:r>
              <w:rPr>
                <w:rFonts w:hint="eastAsia"/>
                <w:szCs w:val="21"/>
              </w:rPr>
              <w:t>账，贷款审批单等旁证材料、追索记录，情况说明以及金融企业法律事务部门或聘请的律师事务所出具的法律意见书；因超过诉讼时效无法诉诸法律的，提交金融企业法律事务部门出具的法律意见书。</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（八）</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涉嫌信用卡诈骗（不包括商户诈骗），经公安机关或者检察机关正式立案侦查</w:t>
            </w:r>
            <w:r>
              <w:rPr>
                <w:szCs w:val="21"/>
              </w:rPr>
              <w:t>180</w:t>
            </w:r>
            <w:r>
              <w:rPr>
                <w:rFonts w:hint="eastAsia"/>
                <w:szCs w:val="21"/>
              </w:rPr>
              <w:t>天以上，仍未能收回的剩余债权。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公检法部门出具的法律证明材料，确实无法取得公检法部门证明材料的，可提交金融企业法律事务部门出具的法律意见书。</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（九）</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金融企业采用信贷资产证券化等市场化手段处置债权后，根据转让协议等，其处置回收资金与债权余额的差额。</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资产处置方案、出售转让合同（或协议）或资产余额清单。</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（十）</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单户贷款本金在</w:t>
            </w:r>
            <w:r>
              <w:rPr>
                <w:szCs w:val="21"/>
              </w:rPr>
              <w:t>10</w:t>
            </w:r>
            <w:r>
              <w:rPr>
                <w:rFonts w:hint="eastAsia"/>
                <w:szCs w:val="21"/>
              </w:rPr>
              <w:t>万元（或等值外币）及以下的，逾期后经追索</w:t>
            </w:r>
            <w:r>
              <w:rPr>
                <w:szCs w:val="21"/>
              </w:rPr>
              <w:t>1</w:t>
            </w:r>
            <w:r>
              <w:rPr>
                <w:rFonts w:hint="eastAsia"/>
                <w:szCs w:val="21"/>
              </w:rPr>
              <w:t>年以上，并且不少于</w:t>
            </w:r>
            <w:r>
              <w:rPr>
                <w:szCs w:val="21"/>
              </w:rPr>
              <w:t>6</w:t>
            </w:r>
            <w:r>
              <w:rPr>
                <w:rFonts w:hint="eastAsia"/>
                <w:szCs w:val="21"/>
              </w:rPr>
              <w:t>次追索，仍未能收回的剩余债权。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追索记录，包括电话追索、信件</w:t>
            </w:r>
            <w:proofErr w:type="gramStart"/>
            <w:r>
              <w:rPr>
                <w:rFonts w:hint="eastAsia"/>
                <w:szCs w:val="21"/>
              </w:rPr>
              <w:t>迪</w:t>
            </w:r>
            <w:proofErr w:type="gramEnd"/>
            <w:r>
              <w:rPr>
                <w:rFonts w:hint="eastAsia"/>
                <w:szCs w:val="21"/>
              </w:rPr>
              <w:t>索和上门追索</w:t>
            </w:r>
          </w:p>
          <w:p w:rsidR="00282761" w:rsidRDefault="00282761">
            <w:pPr>
              <w:spacing w:line="240" w:lineRule="atLeast"/>
              <w:rPr>
                <w:szCs w:val="21"/>
              </w:rPr>
            </w:pPr>
            <w:r>
              <w:rPr>
                <w:rFonts w:hint="eastAsia"/>
                <w:szCs w:val="21"/>
              </w:rPr>
              <w:t>等原始记录，并由经办人和负责人共同签章确认。</w:t>
            </w:r>
          </w:p>
        </w:tc>
      </w:tr>
      <w:tr w:rsidR="00282761" w:rsidTr="00282761">
        <w:tc>
          <w:tcPr>
            <w:tcW w:w="1575" w:type="dxa"/>
            <w:tcBorders>
              <w:top w:val="single" w:sz="4" w:space="0" w:color="auto"/>
              <w:left w:val="single" w:sz="4" w:space="0" w:color="auto"/>
              <w:bottom w:val="single" w:sz="4" w:space="0" w:color="auto"/>
              <w:right w:val="single" w:sz="4" w:space="0" w:color="auto"/>
            </w:tcBorders>
            <w:vAlign w:val="center"/>
            <w:hideMark/>
          </w:tcPr>
          <w:p w:rsidR="00282761" w:rsidRDefault="00282761">
            <w:pPr>
              <w:spacing w:line="520" w:lineRule="exact"/>
              <w:jc w:val="center"/>
              <w:rPr>
                <w:sz w:val="28"/>
                <w:szCs w:val="28"/>
              </w:rPr>
            </w:pPr>
            <w:r>
              <w:rPr>
                <w:rFonts w:hint="eastAsia"/>
                <w:sz w:val="28"/>
                <w:szCs w:val="28"/>
              </w:rPr>
              <w:t>（十一）</w:t>
            </w:r>
          </w:p>
        </w:tc>
        <w:tc>
          <w:tcPr>
            <w:tcW w:w="693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单户贷款本金在</w:t>
            </w:r>
            <w:r>
              <w:rPr>
                <w:szCs w:val="21"/>
              </w:rPr>
              <w:t>5</w:t>
            </w:r>
            <w:r>
              <w:rPr>
                <w:rFonts w:hint="eastAsia"/>
                <w:szCs w:val="21"/>
              </w:rPr>
              <w:t>万元（或等值外币）及以下的，逾期后经追索</w:t>
            </w:r>
            <w:r>
              <w:rPr>
                <w:szCs w:val="21"/>
              </w:rPr>
              <w:t>180</w:t>
            </w:r>
            <w:r>
              <w:rPr>
                <w:rFonts w:hint="eastAsia"/>
                <w:szCs w:val="21"/>
              </w:rPr>
              <w:t>天以上，并且不少于</w:t>
            </w:r>
            <w:r>
              <w:rPr>
                <w:szCs w:val="21"/>
              </w:rPr>
              <w:t>6</w:t>
            </w:r>
            <w:r>
              <w:rPr>
                <w:rFonts w:hint="eastAsia"/>
                <w:szCs w:val="21"/>
              </w:rPr>
              <w:t>次追索，仍未能收回的剩余债权。</w:t>
            </w:r>
          </w:p>
        </w:tc>
        <w:tc>
          <w:tcPr>
            <w:tcW w:w="4620" w:type="dxa"/>
            <w:tcBorders>
              <w:top w:val="single" w:sz="4" w:space="0" w:color="auto"/>
              <w:left w:val="single" w:sz="4" w:space="0" w:color="auto"/>
              <w:bottom w:val="single" w:sz="4" w:space="0" w:color="auto"/>
              <w:right w:val="single" w:sz="4" w:space="0" w:color="auto"/>
            </w:tcBorders>
            <w:hideMark/>
          </w:tcPr>
          <w:p w:rsidR="00282761" w:rsidRDefault="00282761">
            <w:pPr>
              <w:spacing w:line="240" w:lineRule="atLeast"/>
              <w:rPr>
                <w:szCs w:val="21"/>
              </w:rPr>
            </w:pPr>
            <w:r>
              <w:rPr>
                <w:rFonts w:hint="eastAsia"/>
                <w:szCs w:val="21"/>
              </w:rPr>
              <w:t>追索记录，包括电话追索、信件追索和上门追索等原始记录，并由经办人和负责人共同签章确认，井可以采用提供客户清单方式经有权人审批同意后核销。</w:t>
            </w:r>
          </w:p>
        </w:tc>
      </w:tr>
    </w:tbl>
    <w:p w:rsidR="00282761" w:rsidRDefault="00282761" w:rsidP="00282761">
      <w:pPr>
        <w:spacing w:line="520" w:lineRule="exact"/>
        <w:rPr>
          <w:sz w:val="28"/>
          <w:szCs w:val="28"/>
        </w:rPr>
      </w:pPr>
    </w:p>
    <w:p w:rsidR="00282761" w:rsidRDefault="00282761" w:rsidP="00282761">
      <w:pPr>
        <w:spacing w:line="520" w:lineRule="exact"/>
        <w:rPr>
          <w:sz w:val="28"/>
          <w:szCs w:val="28"/>
        </w:rPr>
      </w:pPr>
    </w:p>
    <w:p w:rsidR="00693C57" w:rsidRPr="00282761" w:rsidRDefault="00693C57"/>
    <w:sectPr w:rsidR="00693C57" w:rsidRPr="00282761" w:rsidSect="0028276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61"/>
    <w:rsid w:val="00063D64"/>
    <w:rsid w:val="0006521D"/>
    <w:rsid w:val="00096FE5"/>
    <w:rsid w:val="000A7E64"/>
    <w:rsid w:val="000E16DA"/>
    <w:rsid w:val="00100F14"/>
    <w:rsid w:val="00130E7D"/>
    <w:rsid w:val="001634C7"/>
    <w:rsid w:val="00166131"/>
    <w:rsid w:val="001819EA"/>
    <w:rsid w:val="002601D3"/>
    <w:rsid w:val="00260280"/>
    <w:rsid w:val="00281EAA"/>
    <w:rsid w:val="00282761"/>
    <w:rsid w:val="0028526E"/>
    <w:rsid w:val="002C323B"/>
    <w:rsid w:val="002F18CD"/>
    <w:rsid w:val="00372690"/>
    <w:rsid w:val="00386871"/>
    <w:rsid w:val="00387311"/>
    <w:rsid w:val="003A6B4B"/>
    <w:rsid w:val="003C2E10"/>
    <w:rsid w:val="003F7EC1"/>
    <w:rsid w:val="00420C4E"/>
    <w:rsid w:val="00435815"/>
    <w:rsid w:val="00464EA7"/>
    <w:rsid w:val="00465FB0"/>
    <w:rsid w:val="00476990"/>
    <w:rsid w:val="004C1AA1"/>
    <w:rsid w:val="004C621D"/>
    <w:rsid w:val="004D1CEE"/>
    <w:rsid w:val="004F427F"/>
    <w:rsid w:val="005369B1"/>
    <w:rsid w:val="0062463C"/>
    <w:rsid w:val="00672F14"/>
    <w:rsid w:val="00693C57"/>
    <w:rsid w:val="0072652F"/>
    <w:rsid w:val="007547E4"/>
    <w:rsid w:val="00797453"/>
    <w:rsid w:val="007A720D"/>
    <w:rsid w:val="007E6134"/>
    <w:rsid w:val="008575AD"/>
    <w:rsid w:val="008D037D"/>
    <w:rsid w:val="00920FD3"/>
    <w:rsid w:val="00960342"/>
    <w:rsid w:val="009A1A37"/>
    <w:rsid w:val="009D1F3E"/>
    <w:rsid w:val="009E1BF1"/>
    <w:rsid w:val="00A61E15"/>
    <w:rsid w:val="00A85F9A"/>
    <w:rsid w:val="00AC734B"/>
    <w:rsid w:val="00B205CD"/>
    <w:rsid w:val="00B5554E"/>
    <w:rsid w:val="00C17B05"/>
    <w:rsid w:val="00C215E8"/>
    <w:rsid w:val="00C31708"/>
    <w:rsid w:val="00C72FDC"/>
    <w:rsid w:val="00D400EB"/>
    <w:rsid w:val="00D8307D"/>
    <w:rsid w:val="00DA0A63"/>
    <w:rsid w:val="00E623B3"/>
    <w:rsid w:val="00F26C70"/>
    <w:rsid w:val="00FA60BE"/>
    <w:rsid w:val="00FC5785"/>
    <w:rsid w:val="00FD6823"/>
    <w:rsid w:val="00FD7BC0"/>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白旭</dc:creator>
  <cp:lastModifiedBy>白旭</cp:lastModifiedBy>
  <cp:revision>1</cp:revision>
  <dcterms:created xsi:type="dcterms:W3CDTF">2020-06-30T10:16:00Z</dcterms:created>
  <dcterms:modified xsi:type="dcterms:W3CDTF">2020-06-30T10:17:00Z</dcterms:modified>
</cp:coreProperties>
</file>