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F3" w:rsidRDefault="00B000C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山东省工业和信息化厅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山东省科学技术厅</w:t>
      </w:r>
    </w:p>
    <w:p w:rsidR="003675F3" w:rsidRDefault="00B000C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山东省财政厅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山东省商务厅</w:t>
      </w:r>
    </w:p>
    <w:p w:rsidR="003675F3" w:rsidRDefault="00B000C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山东省国有资产监督管理委员会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3675F3" w:rsidRDefault="00B000C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中国证券监督管理委员会山东监管局</w:t>
      </w:r>
    </w:p>
    <w:p w:rsidR="003675F3" w:rsidRDefault="00B000C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关于加快培育发展制造业优质企业</w:t>
      </w:r>
    </w:p>
    <w:p w:rsidR="003675F3" w:rsidRDefault="00B000C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的实施意见</w:t>
      </w:r>
    </w:p>
    <w:p w:rsidR="00B000CA" w:rsidRDefault="00B000CA" w:rsidP="00B000CA">
      <w:pPr>
        <w:pStyle w:val="a5"/>
        <w:widowControl/>
        <w:spacing w:beforeAutospacing="0" w:afterAutospacing="0" w:line="640" w:lineRule="exact"/>
        <w:jc w:val="center"/>
        <w:rPr>
          <w:rFonts w:ascii="仿宋_GB2312" w:eastAsia="仿宋_GB2312" w:hAnsi="仿宋_GB2312" w:cs="仿宋_GB2312"/>
          <w:sz w:val="32"/>
          <w:szCs w:val="32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鲁工信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发〔2021〕5号</w:t>
      </w:r>
    </w:p>
    <w:p w:rsidR="00B000CA" w:rsidRPr="00B000CA" w:rsidRDefault="00B000CA" w:rsidP="00B000CA">
      <w:pPr>
        <w:pStyle w:val="2"/>
        <w:rPr>
          <w:rFonts w:hint="eastAsia"/>
        </w:rPr>
      </w:pPr>
    </w:p>
    <w:p w:rsidR="003675F3" w:rsidRDefault="00B000CA">
      <w:pPr>
        <w:pStyle w:val="a5"/>
        <w:widowControl/>
        <w:spacing w:beforeAutospacing="0" w:afterAutospacing="0" w:line="640" w:lineRule="exact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工业和信息化、科技、财政、商务、国资主管部门，各有关单位：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工业和信息化部等六部委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《关于加快培育发展制造业优质企业的指导意见》（工信部联政法</w:t>
      </w:r>
      <w:r>
        <w:rPr>
          <w:rFonts w:ascii="仿宋_GB2312" w:eastAsia="仿宋_GB2312" w:hAnsi="仿宋_GB2312" w:cs="仿宋_GB2312" w:hint="eastAsia"/>
          <w:sz w:val="32"/>
          <w:szCs w:val="32"/>
        </w:rPr>
        <w:t>[2021]70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我省制造业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优质企业持续做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强做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优做大，提升产业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链现代化水平，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促进全省制造业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现提出如下实施意见。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总体</w:t>
      </w:r>
      <w:r>
        <w:rPr>
          <w:rFonts w:ascii="黑体" w:eastAsia="黑体" w:hAnsi="黑体" w:cs="黑体" w:hint="eastAsia"/>
          <w:sz w:val="32"/>
          <w:szCs w:val="32"/>
        </w:rPr>
        <w:t>要求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（一）指导思想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全面贯彻党的十九大和十九届二中、三中、四中、五中全会精神，以推动企业高质量发展为主题，加快培育发展以专精特新“小巨人”企业、制造业单项冠军企业、产业链领航企业（以下简称“小巨人”企业、单项冠军企业、领航企业）为代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的优质企业，发挥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领头雁、排头兵作用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统筹推进产业基础高级化和产业链现代化，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进一步培育优良产业生态，推进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</w:t>
      </w:r>
      <w:r>
        <w:rPr>
          <w:rFonts w:ascii="仿宋_GB2312" w:eastAsia="仿宋_GB2312" w:hAnsi="仿宋_GB2312" w:cs="仿宋_GB2312" w:hint="eastAsia"/>
          <w:sz w:val="32"/>
          <w:szCs w:val="32"/>
        </w:rPr>
        <w:t>强省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不断迈上新台阶。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（二）基本原则</w:t>
      </w:r>
    </w:p>
    <w:p w:rsidR="003675F3" w:rsidRDefault="00B000CA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市场主导、政策引导。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充分发挥市场在资源配置中的决定性作用，更好发挥政府作用，加快完善“要素跟着重点项目走、政策对着产业生态定”的机制，以深化“放管服”为突破口，激发市场主体活力，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创新体制机制，营造一流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环境。</w:t>
      </w:r>
    </w:p>
    <w:p w:rsidR="003675F3" w:rsidRDefault="00B000CA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质量第一、效益优先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建立健全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高质量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标准体系，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发展先进制造业，推动企业持续做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强做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优做大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提高先进产能比例，提高全球竞争力和生态主导力，巩固提升全球地位，带动提升产业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链现代化水平，推进制造业向价值链中高端跃升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创新引领、协同发展。</w:t>
      </w:r>
      <w:r>
        <w:rPr>
          <w:rStyle w:val="3Char"/>
          <w:rFonts w:ascii="仿宋_GB2312" w:hAnsi="仿宋_GB2312" w:cs="仿宋_GB2312" w:hint="eastAsia"/>
          <w:b w:val="0"/>
          <w:bCs w:val="0"/>
          <w:szCs w:val="32"/>
        </w:rPr>
        <w:t>坚持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创新驱动发展战略，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推动源头创新、技术创新、产业创新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，加强“</w:t>
      </w:r>
      <w:r>
        <w:rPr>
          <w:rFonts w:ascii="仿宋_GB2312" w:eastAsia="仿宋_GB2312" w:hAnsi="仿宋_GB2312" w:cs="仿宋_GB2312" w:hint="eastAsia"/>
          <w:sz w:val="32"/>
          <w:szCs w:val="32"/>
        </w:rPr>
        <w:t>卡脖子</w:t>
      </w:r>
      <w:r>
        <w:rPr>
          <w:rFonts w:ascii="仿宋_GB2312" w:eastAsia="仿宋_GB2312" w:hAnsi="仿宋_GB2312" w:cs="仿宋_GB2312" w:hint="eastAsia"/>
          <w:sz w:val="32"/>
          <w:szCs w:val="32"/>
        </w:rPr>
        <w:t>”关键核心技术攻关，构建科技、教育、产业紧密结合的创新生态，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链部署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创新链、围绕创新链布局产业链，加快提升产业基础能力和产业链现代化水平。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．龙头带动、优化生态。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加强优质企业梯度培育，发挥龙头企业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链安全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稳定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引领和掌握产业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作用</w:t>
      </w:r>
      <w:r>
        <w:rPr>
          <w:rFonts w:ascii="仿宋_GB2312" w:eastAsia="仿宋_GB2312" w:hAnsi="仿宋_GB2312" w:cs="仿宋_GB2312" w:hint="eastAsia"/>
          <w:sz w:val="32"/>
          <w:szCs w:val="32"/>
        </w:rPr>
        <w:t>，带动产业链质量效率整体提升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强化中小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创新能力和专业化水平，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提升全行业创新、制造、服务能力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大中小企业协同创新、资源共享、</w:t>
      </w:r>
      <w:r>
        <w:rPr>
          <w:rFonts w:ascii="仿宋_GB2312" w:eastAsia="仿宋_GB2312" w:hAnsi="仿宋_GB2312" w:cs="仿宋_GB2312" w:hint="eastAsia"/>
          <w:sz w:val="32"/>
          <w:szCs w:val="32"/>
        </w:rPr>
        <w:t>融通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发展的产业生态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（三）主要目标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重点行业和领域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重点产业链，</w:t>
      </w:r>
      <w:r>
        <w:rPr>
          <w:rFonts w:ascii="仿宋_GB2312" w:eastAsia="仿宋_GB2312" w:hAnsi="仿宋_GB2312" w:cs="仿宋_GB2312" w:hint="eastAsia"/>
          <w:sz w:val="32"/>
          <w:szCs w:val="32"/>
        </w:rPr>
        <w:t>筛选</w:t>
      </w:r>
      <w:r>
        <w:rPr>
          <w:rFonts w:ascii="仿宋_GB2312" w:eastAsia="仿宋_GB2312" w:hAnsi="仿宋_GB2312" w:cs="仿宋_GB2312" w:hint="eastAsia"/>
          <w:sz w:val="32"/>
          <w:szCs w:val="32"/>
        </w:rPr>
        <w:t>一批有能力、有志向引领产业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链发展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的优秀企业开展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引导“专精特新”中小企业成长为国内市场领先的“小巨人”企业，引导“小巨人”等各类企业成长为国际市场领先的单项冠军企业，引导大企业集团发展成为具有生态主导力、国际竞争力的领航企业。力争到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年，新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省级以上制造业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专精特新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家、</w:t>
      </w:r>
      <w:r>
        <w:rPr>
          <w:rFonts w:ascii="仿宋_GB2312" w:eastAsia="仿宋_GB2312" w:hAnsi="仿宋_GB2312" w:cs="仿宋_GB2312" w:hint="eastAsia"/>
          <w:sz w:val="32"/>
          <w:szCs w:val="32"/>
        </w:rPr>
        <w:t>小巨人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家、单项冠军企业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家和领航企业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家左右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梯度培育格局基本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675F3" w:rsidRDefault="00B000CA">
      <w:pPr>
        <w:pStyle w:val="a5"/>
        <w:widowControl/>
        <w:numPr>
          <w:ilvl w:val="0"/>
          <w:numId w:val="1"/>
        </w:numPr>
        <w:spacing w:beforeAutospacing="0" w:afterAutospacing="0" w:line="6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重点任务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建立</w:t>
      </w:r>
      <w:r>
        <w:rPr>
          <w:rFonts w:ascii="楷体" w:eastAsia="楷体" w:hAnsi="楷体" w:cs="楷体" w:hint="eastAsia"/>
          <w:sz w:val="32"/>
          <w:szCs w:val="32"/>
        </w:rPr>
        <w:t>优质</w:t>
      </w:r>
      <w:r>
        <w:rPr>
          <w:rFonts w:ascii="楷体" w:eastAsia="楷体" w:hAnsi="楷体" w:cs="楷体" w:hint="eastAsia"/>
          <w:sz w:val="32"/>
          <w:szCs w:val="32"/>
        </w:rPr>
        <w:t>企业</w:t>
      </w:r>
      <w:r>
        <w:rPr>
          <w:rFonts w:ascii="楷体" w:eastAsia="楷体" w:hAnsi="楷体" w:cs="楷体" w:hint="eastAsia"/>
          <w:sz w:val="32"/>
          <w:szCs w:val="32"/>
        </w:rPr>
        <w:t>梯度</w:t>
      </w:r>
      <w:r>
        <w:rPr>
          <w:rFonts w:ascii="楷体" w:eastAsia="楷体" w:hAnsi="楷体" w:cs="楷体" w:hint="eastAsia"/>
          <w:sz w:val="32"/>
          <w:szCs w:val="32"/>
        </w:rPr>
        <w:t>培育库。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聚焦我省产业基础雄厚、比较优势明显、发展潜力较大的重点产业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，确定一批</w:t>
      </w:r>
      <w:r>
        <w:rPr>
          <w:rFonts w:ascii="仿宋_GB2312" w:eastAsia="仿宋_GB2312" w:hAnsi="仿宋_GB2312" w:cs="仿宋_GB2312" w:hint="eastAsia"/>
          <w:sz w:val="32"/>
          <w:szCs w:val="32"/>
        </w:rPr>
        <w:t>有潜力、有积极性的企业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入库培育，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重点打造一批主营业务突出、生产管理精细、工艺技术独特、创新能力强、增长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速度</w:t>
      </w:r>
      <w:r>
        <w:rPr>
          <w:rFonts w:ascii="仿宋_GB2312" w:eastAsia="仿宋_GB2312" w:hAnsi="仿宋_GB2312" w:cs="仿宋_GB2312" w:hint="eastAsia"/>
          <w:sz w:val="32"/>
          <w:szCs w:val="32"/>
        </w:rPr>
        <w:t>快、发展潜力大的“小巨人”企业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重点培育一批长期深耕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产业链某一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环节或产品，掌握关键核心技术，在终端产品或中间产品拥有较高的市场地位和市场份额的</w:t>
      </w:r>
      <w:r>
        <w:rPr>
          <w:rFonts w:ascii="仿宋_GB2312" w:eastAsia="仿宋_GB2312" w:hAnsi="仿宋_GB2312" w:cs="仿宋_GB2312" w:hint="eastAsia"/>
          <w:sz w:val="32"/>
          <w:szCs w:val="32"/>
        </w:rPr>
        <w:t>单项冠军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重点培育一批具有生态主导能力、综合实力较强，相关业务具有国内市场话语权的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产业链领航型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省工业和信息化厅牵头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3675F3" w:rsidRDefault="00B000CA">
      <w:pPr>
        <w:spacing w:line="64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kern w:val="0"/>
          <w:sz w:val="32"/>
          <w:szCs w:val="32"/>
          <w:lang w:bidi="ar"/>
        </w:rPr>
        <w:t>（二）提高优质企业自主创新能力。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优质企业牵头或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参与制造业创新中心、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技术创新中心、重点实验室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>等创新平台建设，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</w:t>
      </w:r>
      <w:r>
        <w:rPr>
          <w:rFonts w:ascii="仿宋_GB2312" w:eastAsia="仿宋_GB2312" w:hAnsi="仿宋_GB2312" w:cs="仿宋_GB2312" w:hint="eastAsia"/>
          <w:sz w:val="32"/>
          <w:szCs w:val="32"/>
        </w:rPr>
        <w:t>施重大关键技术攻关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产业化项目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针对产业链空白、薄弱环节，组织实施产业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链固基强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基工程，鼓励领航企业积极“揭榜挂帅”，组织产业链上下游企业协同攻关，集中力量攻克产业“卡脖子”难题。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鼓励企业组建创新联合体，加大协同创新力度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，加大基础零部件、基础电子元器件、基础软件、基础材料、基础工艺、高端仪器设备、集成电路、网络安全等领域关键核心技术、产品、装备攻关和示范应用。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落实创新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政策，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推动大型仪器设备资源在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高校、科研院所、优质企业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间共建共享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建设生产应用示范平台和产业技术基础公共服务平台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。完善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重点产业链产学研定期对接机制，加强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、省内高校、研发机构之间的融合发展，推动产学研</w:t>
      </w:r>
      <w:r>
        <w:rPr>
          <w:rFonts w:ascii="仿宋_GB2312" w:eastAsia="仿宋_GB2312" w:hAnsi="仿宋_GB2312" w:cs="仿宋_GB2312" w:hint="eastAsia"/>
          <w:sz w:val="32"/>
          <w:szCs w:val="32"/>
        </w:rPr>
        <w:t>协同创新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（省科技厅、省工业和信息化厅按职责分工负责）</w:t>
      </w:r>
    </w:p>
    <w:p w:rsidR="003675F3" w:rsidRDefault="00B000CA">
      <w:pPr>
        <w:pStyle w:val="a4"/>
        <w:adjustRightInd w:val="0"/>
        <w:snapToGrid w:val="0"/>
        <w:spacing w:line="64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kern w:val="0"/>
          <w:sz w:val="32"/>
          <w:szCs w:val="32"/>
          <w:lang w:bidi="ar"/>
        </w:rPr>
        <w:t>（三）提高企业管理现代化水平。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以新发展理念为引领，深入开展企业管理系统提升专项行动，鼓励推动组织管理变革，加强全面质量管理、强化资源集约管理和配置、做好风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险防控，创新生产经营模式，提升全要素生产率。定期选树一批企业管理创新优秀成果，示范推广先进管理经验和工具方法，开展重点行业对标提升活动。弘扬企业家精神和工匠精神，加强企业诚信建设，支持优质企业申报山东省百强企业和优秀企业家。加大企业社会责任建设力度，增强风险防范和价值创造能力。引导企业重视企业文化建设，提高企业员工凝聚力、创造力和社会认同感。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（省工业和信息化厅、省国资委按职责分工负责）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bidi="ar"/>
        </w:rPr>
      </w:pPr>
      <w:r>
        <w:rPr>
          <w:rFonts w:ascii="楷体" w:eastAsia="楷体" w:hAnsi="楷体" w:cs="楷体" w:hint="eastAsia"/>
          <w:sz w:val="32"/>
          <w:szCs w:val="32"/>
        </w:rPr>
        <w:t>（四）提升产业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链供应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链现代化水平。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充分发挥优质企业在增强产业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链自主可控能力中的中坚作用，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制造业重点产业链链长制工作推进机制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统筹推进固根基、扬优势、补短板、强弱项各项工作，切实提升产业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链的稳定性和竞争力。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组织领航企业开展产业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链梳理，鼓励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优质企业围绕主业和产业链上下游通过并购</w:t>
      </w:r>
      <w:r>
        <w:rPr>
          <w:rFonts w:ascii="仿宋_GB2312" w:eastAsia="仿宋_GB2312" w:hAnsi="仿宋_GB2312" w:cs="仿宋_GB2312" w:hint="eastAsia"/>
          <w:sz w:val="32"/>
          <w:szCs w:val="32"/>
        </w:rPr>
        <w:t>重组、资本运作、战略合作等方式整合产业资源，提升产业链竞争力和抗风险能力。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创建供应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与应用示范示范</w:t>
      </w:r>
      <w:r>
        <w:rPr>
          <w:rFonts w:ascii="仿宋_GB2312" w:eastAsia="仿宋_GB2312" w:hAnsi="仿宋_GB2312" w:cs="仿宋_GB2312"/>
          <w:sz w:val="32"/>
          <w:szCs w:val="32"/>
        </w:rPr>
        <w:t>城市和示范企业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，培育一批制造业现代供应链示范企业。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推动省属国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有资本向关系国家安全、国民经济命脉的重要行业领域集中，加快在制造业关键环节和中高端领域布局。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引导有意愿的单项冠军企业、领航企业带动关联产业向中西部和东北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地区有序转移，促进区域协同发展。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（省工业和信息化厅、省商务厅、省国资委</w:t>
      </w:r>
      <w:r>
        <w:rPr>
          <w:rFonts w:ascii="楷体_GB2312" w:eastAsia="楷体_GB2312" w:hAnsi="楷体_GB2312" w:cs="楷体_GB2312" w:hint="eastAsia"/>
          <w:sz w:val="32"/>
          <w:szCs w:val="32"/>
        </w:rPr>
        <w:t>按职责分工负责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bidi="ar"/>
        </w:rPr>
      </w:pPr>
      <w:r>
        <w:rPr>
          <w:rFonts w:ascii="楷体" w:eastAsia="楷体" w:hAnsi="楷体" w:cs="楷体" w:hint="eastAsia"/>
          <w:sz w:val="32"/>
          <w:szCs w:val="32"/>
        </w:rPr>
        <w:t>（五）引导优质企业高端化智能化绿色化发展。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标世界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流企业，加快推进先进制造业和现代服务业融合发展，滚动实施“万项技改、万企转型”，深入开展山东省百年品牌培育工程，推进“山东制造•网行天下”专项行动，提升山东制造品牌影响力，提高中高端供给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加快研发</w:t>
      </w:r>
      <w:r>
        <w:rPr>
          <w:rFonts w:ascii="仿宋_GB2312" w:eastAsia="仿宋_GB2312" w:hAnsi="仿宋_GB2312" w:cs="仿宋_GB2312" w:hint="eastAsia"/>
          <w:sz w:val="32"/>
          <w:szCs w:val="32"/>
        </w:rPr>
        <w:t>推广一批高水平智能制造装备，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创建一批示范引领作用强、综合效益显著的智能工厂（数字化车间），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一批智能制造标杆企业，探索形成一批成效明显、可复制、可推广的智能制造新模式，提升智能制造水平和应用能级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Style w:val="3Char"/>
          <w:rFonts w:ascii="仿宋_GB2312" w:hAnsi="仿宋_GB2312" w:cs="仿宋_GB2312" w:hint="eastAsia"/>
          <w:b w:val="0"/>
          <w:bCs w:val="0"/>
          <w:szCs w:val="32"/>
        </w:rPr>
        <w:t>深入开展制造业数字化转型行动，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打造一批制造业数字化转型标杆企业和示范样板项目。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加快建设一批数字化转型公共服务平台，实施“万名数字专员”服务行动，积极拓展工业互联网典型应用场景，深化“个十百”平台培育工程，高水平建设山东半岛工业互联网示范区。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大力开发绿色产品，广泛建设绿色工厂，持续打造绿色工业园区，鼓励优质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企业企业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构建绿色供应链管理体系，树立资源节约标杆，支持参与实施工业低碳行动和绿色制造工程，在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落实碳达峰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、碳中和目标中发挥示范引领作用。提升工业设计能力，加强工业设计平台建设，做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强做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优山东省工业设计研究院，积极发展服务型制造新模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式新业态。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（省工业和信息化厅、省商务厅、省国资委</w:t>
      </w:r>
      <w:r>
        <w:rPr>
          <w:rFonts w:ascii="楷体_GB2312" w:eastAsia="楷体_GB2312" w:hAnsi="楷体_GB2312" w:cs="楷体_GB2312" w:hint="eastAsia"/>
          <w:sz w:val="32"/>
          <w:szCs w:val="32"/>
        </w:rPr>
        <w:t>按职责分工负责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kern w:val="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（六）打造大中小企业融通发展生态。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建设大中小企业融通发展平台载体，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支持领航企业发挥产业链“链主”作用，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对上下游企业开放资源，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通过行业协会、产业联盟等方式，在技术攻关、产品配套、品牌渠道、资金融通等方面，带动关联度高、协同性强的中小企业进入产业链、供应链、创新链。鼓励中小企业加强与优质企业的协同创新、配套合作，持续畅通产业循环、市场循环，促进形成具有更高效率、更低成本的现代产业体系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（省工业和信息化厅牵头）</w:t>
      </w:r>
    </w:p>
    <w:p w:rsidR="003675F3" w:rsidRDefault="00B000CA">
      <w:pPr>
        <w:adjustRightInd w:val="0"/>
        <w:snapToGrid w:val="0"/>
        <w:spacing w:line="64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kern w:val="0"/>
          <w:sz w:val="32"/>
          <w:szCs w:val="32"/>
          <w:lang w:bidi="ar"/>
        </w:rPr>
        <w:t>（七）提升优质企业开放合作水平。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鼓励领航企业、单项冠军企业积极开展跨国并购、全球布局研发设计中心，优化生产网络和供应链体系，有效对接和利用全球资源。以共建“一带一路”为重点，构建区域产业链共同体，更好融入全球产业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链。充分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与日韩地缘相近、产业相融、文化相通等优势，推动先进制造业与现代服务业全方位、宽领域、多层次深化产业合作。支持省内企业主动融入国际产业链、供应链、创新链，鼓励境外企业和科研机构来鲁设立全球研发机构。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（省工业和信息化厅、省商务厅按职责分工负责）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三、保障措施</w:t>
      </w:r>
    </w:p>
    <w:p w:rsidR="003675F3" w:rsidRDefault="00B000CA">
      <w:pPr>
        <w:adjustRightInd w:val="0"/>
        <w:snapToGrid w:val="0"/>
        <w:spacing w:line="64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kern w:val="0"/>
          <w:sz w:val="32"/>
          <w:szCs w:val="32"/>
          <w:lang w:bidi="ar"/>
        </w:rPr>
        <w:lastRenderedPageBreak/>
        <w:t>（一）完善金融财税政策。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统筹国家和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省各项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财政专项资金，对优质企业给予重点支持。深入实施首台套装备及零部件、首批次新材料、首版次高端软件保险补偿，落实进口设备免税、研究开发费用加计扣除等政策。深入推行企业金融辅导员制度，将更多优质企业纳入金融辅导，并对融资困难的企业开展辅导攻坚，实施销号管理。支持符合条件的优质企业上市融资和使用债券融资工具进行融资。支持银行金融机构加大信贷支持力度，提供优质高效的金融服务，支持投贷联动、投保联动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投担联动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、投投联动。充分发挥我省新旧动能转换基金引导作用，吸引更多社会资本支持优质企业加快发展。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（省工业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和信息化厅、省财政厅、人民银行济南分行、省地方金融监督管理局、山东省税务局、山东银保监局、山东证监局按职责分工负责）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lang w:bidi="ar"/>
        </w:rPr>
      </w:pPr>
      <w:r>
        <w:rPr>
          <w:rFonts w:ascii="楷体" w:eastAsia="楷体" w:hAnsi="楷体" w:cs="楷体" w:hint="eastAsia"/>
          <w:sz w:val="32"/>
          <w:szCs w:val="32"/>
          <w:lang w:bidi="ar"/>
        </w:rPr>
        <w:t>（二）加强</w:t>
      </w:r>
      <w:r>
        <w:rPr>
          <w:rFonts w:ascii="楷体" w:eastAsia="楷体" w:hAnsi="楷体" w:cs="楷体" w:hint="eastAsia"/>
          <w:sz w:val="32"/>
          <w:szCs w:val="32"/>
        </w:rPr>
        <w:t>资源要素保障。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健全完善“要素跟着项目走”机制，全面提升要素供给质量，推动土地、能耗、污染物排放、水资源等各类资源要素向优质企业重点项目聚集，为优质企业加快发展创造良好条件。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（省工业和信息化厅牵头，有关部门配合）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lang w:bidi="ar"/>
        </w:rPr>
      </w:pPr>
      <w:r>
        <w:rPr>
          <w:rFonts w:ascii="楷体" w:eastAsia="楷体" w:hAnsi="楷体" w:cs="楷体" w:hint="eastAsia"/>
          <w:sz w:val="32"/>
          <w:szCs w:val="32"/>
        </w:rPr>
        <w:t>（三）强化</w:t>
      </w:r>
      <w:r>
        <w:rPr>
          <w:rFonts w:ascii="楷体" w:eastAsia="楷体" w:hAnsi="楷体" w:cs="楷体" w:hint="eastAsia"/>
          <w:sz w:val="32"/>
          <w:szCs w:val="32"/>
          <w:lang w:bidi="ar"/>
        </w:rPr>
        <w:t>高端人才支撑。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支持引进高端人才，落实重点产业链尖端技术人才奖励制度，积极建设先进制造业实训基地。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持续实施企业家素质提升行动和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职业经理人培育行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加强企业经营管理人才培训，落实企业家财政激励政策，对符合条件的优质企业负责人给予表彰奖励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。鼓励企业依托企业技术中心、技术创新中心、工程实验室、工程中心、重点实验室等创新平台，吸引高层次专家团队和高素质技能人才。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（省科技厅、省工业和信息化厅、省财政厅、省国资委按职责分工负责）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lang w:bidi="ar"/>
        </w:rPr>
      </w:pPr>
      <w:r>
        <w:rPr>
          <w:rFonts w:ascii="楷体" w:eastAsia="楷体" w:hAnsi="楷体" w:cs="楷体" w:hint="eastAsia"/>
          <w:sz w:val="32"/>
          <w:szCs w:val="32"/>
        </w:rPr>
        <w:t>（四）实施精准对接服务。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进一步强化服务意识，分级构建优质企业培育库，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企业编制《创建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企业行动方案》，所在地方政府“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策”同步编制《支持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企业创建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企业方案》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“企业直通车”制度，及时掌握企业诉求，指导用好惠企政策，协调解决土地、用工、用能等问题。组织行业协会、商会等梳理企业需求，提供信息咨询、产品推广、人才培训、知识产权等专业化服务。加大宣传力度，编制发布企业案例集，推广地方典型经验，开展经验交流，组织“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</w:t>
      </w:r>
      <w:r>
        <w:rPr>
          <w:rFonts w:ascii="仿宋_GB2312" w:eastAsia="仿宋_GB2312" w:hAnsi="仿宋_GB2312" w:cs="仿宋_GB2312" w:hint="eastAsia"/>
          <w:sz w:val="32"/>
          <w:szCs w:val="32"/>
        </w:rPr>
        <w:t>优质企业行”活动，打造“优质企业”名片。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（省工业和信息化厅牵头）</w:t>
      </w:r>
    </w:p>
    <w:p w:rsidR="003675F3" w:rsidRDefault="003675F3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lang w:bidi="ar"/>
        </w:rPr>
      </w:pPr>
    </w:p>
    <w:p w:rsidR="003675F3" w:rsidRDefault="003675F3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lang w:bidi="ar"/>
        </w:rPr>
      </w:pPr>
    </w:p>
    <w:p w:rsidR="003675F3" w:rsidRDefault="003675F3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lang w:bidi="ar"/>
        </w:rPr>
      </w:pPr>
    </w:p>
    <w:p w:rsidR="003675F3" w:rsidRDefault="00B000CA">
      <w:pPr>
        <w:pStyle w:val="a5"/>
        <w:widowControl/>
        <w:spacing w:beforeAutospacing="0" w:afterAutospacing="0" w:line="640" w:lineRule="exact"/>
        <w:jc w:val="righ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山东省工业和信息化厅</w:t>
      </w:r>
    </w:p>
    <w:p w:rsidR="003675F3" w:rsidRDefault="00B000CA">
      <w:pPr>
        <w:pStyle w:val="a5"/>
        <w:widowControl/>
        <w:spacing w:beforeAutospacing="0" w:afterAutospacing="0" w:line="640" w:lineRule="exact"/>
        <w:jc w:val="righ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山东省科学技术厅</w:t>
      </w:r>
    </w:p>
    <w:p w:rsidR="003675F3" w:rsidRDefault="00B000CA">
      <w:pPr>
        <w:pStyle w:val="a5"/>
        <w:widowControl/>
        <w:spacing w:beforeAutospacing="0" w:afterAutospacing="0" w:line="640" w:lineRule="exact"/>
        <w:jc w:val="righ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山东省财政厅</w:t>
      </w:r>
    </w:p>
    <w:p w:rsidR="003675F3" w:rsidRDefault="00B000CA">
      <w:pPr>
        <w:pStyle w:val="a5"/>
        <w:widowControl/>
        <w:spacing w:beforeAutospacing="0" w:afterAutospacing="0" w:line="640" w:lineRule="exact"/>
        <w:jc w:val="righ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山东省商务厅</w:t>
      </w:r>
    </w:p>
    <w:p w:rsidR="003675F3" w:rsidRDefault="00B000CA">
      <w:pPr>
        <w:pStyle w:val="a5"/>
        <w:widowControl/>
        <w:spacing w:beforeAutospacing="0" w:afterAutospacing="0" w:line="640" w:lineRule="exact"/>
        <w:jc w:val="righ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山东省国有资产监督管理委员会</w:t>
      </w:r>
    </w:p>
    <w:p w:rsidR="003675F3" w:rsidRDefault="00B000CA">
      <w:pPr>
        <w:pStyle w:val="a5"/>
        <w:widowControl/>
        <w:spacing w:beforeAutospacing="0" w:afterAutospacing="0" w:line="640" w:lineRule="exact"/>
        <w:jc w:val="righ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中国证券监督管理委员会山东监管局</w:t>
      </w:r>
    </w:p>
    <w:p w:rsidR="003675F3" w:rsidRDefault="00B000CA">
      <w:pPr>
        <w:pStyle w:val="a5"/>
        <w:widowControl/>
        <w:spacing w:beforeAutospacing="0" w:afterAutospacing="0" w:line="640" w:lineRule="exact"/>
        <w:ind w:firstLineChars="200" w:firstLine="640"/>
        <w:jc w:val="right"/>
        <w:rPr>
          <w:rFonts w:ascii="楷体_GB2312" w:eastAsia="楷体_GB2312" w:hAnsi="楷体_GB2312" w:cs="楷体_GB2312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2021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10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22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日</w:t>
      </w:r>
    </w:p>
    <w:p w:rsidR="00B000CA" w:rsidRDefault="00B000CA" w:rsidP="00B000CA">
      <w:pPr>
        <w:pStyle w:val="a5"/>
        <w:widowControl/>
        <w:spacing w:beforeAutospacing="0" w:afterAutospacing="0" w:line="6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（此件主动公开）</w:t>
      </w:r>
    </w:p>
    <w:p w:rsidR="00B000CA" w:rsidRDefault="00B000CA">
      <w:pPr>
        <w:pStyle w:val="a5"/>
        <w:widowControl/>
        <w:spacing w:beforeAutospacing="0" w:afterAutospacing="0" w:line="640" w:lineRule="exact"/>
        <w:ind w:firstLineChars="200" w:firstLine="640"/>
        <w:jc w:val="right"/>
        <w:rPr>
          <w:rFonts w:ascii="楷体_GB2312" w:eastAsia="楷体_GB2312" w:hAnsi="楷体_GB2312" w:cs="楷体_GB2312" w:hint="eastAsia"/>
          <w:sz w:val="32"/>
          <w:szCs w:val="32"/>
          <w:lang w:bidi="ar"/>
        </w:rPr>
      </w:pPr>
      <w:bookmarkStart w:id="0" w:name="_GoBack"/>
      <w:bookmarkEnd w:id="0"/>
    </w:p>
    <w:sectPr w:rsidR="00B0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5A9C5E"/>
    <w:multiLevelType w:val="singleLevel"/>
    <w:tmpl w:val="F55A9C5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0C6652"/>
    <w:rsid w:val="DF77A475"/>
    <w:rsid w:val="003675F3"/>
    <w:rsid w:val="00B000CA"/>
    <w:rsid w:val="05413540"/>
    <w:rsid w:val="06132C8D"/>
    <w:rsid w:val="062C6BC6"/>
    <w:rsid w:val="06C66673"/>
    <w:rsid w:val="09EF5145"/>
    <w:rsid w:val="0D0A468D"/>
    <w:rsid w:val="0DDC6D05"/>
    <w:rsid w:val="0FC00CF6"/>
    <w:rsid w:val="1039148A"/>
    <w:rsid w:val="1C643F07"/>
    <w:rsid w:val="1D9764A2"/>
    <w:rsid w:val="1DD069DC"/>
    <w:rsid w:val="25D21789"/>
    <w:rsid w:val="2D9F2214"/>
    <w:rsid w:val="2DBA7C95"/>
    <w:rsid w:val="2FFF3AE1"/>
    <w:rsid w:val="31930B17"/>
    <w:rsid w:val="3ABF6C0E"/>
    <w:rsid w:val="3BA70290"/>
    <w:rsid w:val="3EAB5CA0"/>
    <w:rsid w:val="4B0E257C"/>
    <w:rsid w:val="55956F3A"/>
    <w:rsid w:val="56926DBA"/>
    <w:rsid w:val="5AFB0B35"/>
    <w:rsid w:val="5F4E5598"/>
    <w:rsid w:val="610C6652"/>
    <w:rsid w:val="646F5318"/>
    <w:rsid w:val="67914B39"/>
    <w:rsid w:val="69245C08"/>
    <w:rsid w:val="6B2175B5"/>
    <w:rsid w:val="6FEFDFC0"/>
    <w:rsid w:val="729A2404"/>
    <w:rsid w:val="7DE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BE0F20-25C6-4382-B30A-6B517BE1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2" w:lineRule="auto"/>
      <w:outlineLvl w:val="2"/>
    </w:pPr>
    <w:rPr>
      <w:rFonts w:ascii="Times New Roman" w:eastAsia="仿宋_GB2312" w:hAnsi="Times New Roman" w:cs="Times New Roman"/>
      <w:b/>
      <w:bCs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ind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Body Text"/>
    <w:basedOn w:val="a"/>
    <w:next w:val="2"/>
    <w:qFormat/>
    <w:pPr>
      <w:spacing w:after="1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rFonts w:ascii="Calibri" w:eastAsia="宋体" w:hAnsi="Calibri" w:cs="Times New Roman"/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3Char">
    <w:name w:val="标题 3 Char"/>
    <w:link w:val="3"/>
    <w:qFormat/>
    <w:rPr>
      <w:rFonts w:ascii="Times New Roman" w:eastAsia="仿宋_GB2312" w:hAnsi="Times New Roman" w:cs="Times New Roman"/>
      <w:b/>
      <w:bCs/>
      <w:kern w:val="2"/>
      <w:sz w:val="32"/>
      <w:szCs w:val="24"/>
      <w:lang w:val="en-US" w:eastAsia="zh-CN" w:bidi="ar-SA"/>
    </w:rPr>
  </w:style>
  <w:style w:type="paragraph" w:styleId="a9">
    <w:name w:val="Date"/>
    <w:basedOn w:val="a"/>
    <w:next w:val="a"/>
    <w:link w:val="Char"/>
    <w:rsid w:val="00B000CA"/>
    <w:pPr>
      <w:ind w:leftChars="2500" w:left="100"/>
    </w:pPr>
  </w:style>
  <w:style w:type="character" w:customStyle="1" w:styleId="Char">
    <w:name w:val="日期 Char"/>
    <w:basedOn w:val="a0"/>
    <w:link w:val="a9"/>
    <w:rsid w:val="00B000C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Espresso</dc:creator>
  <cp:lastModifiedBy>yan</cp:lastModifiedBy>
  <cp:revision>2</cp:revision>
  <cp:lastPrinted>2021-10-20T01:26:00Z</cp:lastPrinted>
  <dcterms:created xsi:type="dcterms:W3CDTF">2021-11-10T07:09:00Z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493644305EE54EBEBD8BBFE16AE26501</vt:lpwstr>
  </property>
</Properties>
</file>